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CC" w:rsidRDefault="00243BCC">
      <w:r>
        <w:rPr>
          <w:noProof/>
          <w:lang w:eastAsia="en-GB"/>
        </w:rPr>
        <w:drawing>
          <wp:inline distT="0" distB="0" distL="0" distR="0" wp14:anchorId="534941A3">
            <wp:extent cx="35052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694690"/>
                    </a:xfrm>
                    <a:prstGeom prst="rect">
                      <a:avLst/>
                    </a:prstGeom>
                    <a:noFill/>
                  </pic:spPr>
                </pic:pic>
              </a:graphicData>
            </a:graphic>
          </wp:inline>
        </w:drawing>
      </w:r>
    </w:p>
    <w:p w:rsidR="00243BCC" w:rsidRDefault="00243BCC">
      <w:pPr>
        <w:rPr>
          <w:rFonts w:eastAsia="Calibri" w:hAnsi="Calibri" w:cs="Times New Roman"/>
          <w:b/>
          <w:bCs/>
          <w:color w:val="000000"/>
          <w:kern w:val="24"/>
          <w:lang w:eastAsia="en-GB"/>
        </w:rPr>
      </w:pPr>
      <w:r w:rsidRPr="00243BCC">
        <w:rPr>
          <w:rFonts w:eastAsiaTheme="minorEastAsia" w:hAnsi="Calibri"/>
          <w:color w:val="000000" w:themeColor="dark1"/>
          <w:kern w:val="24"/>
          <w:sz w:val="28"/>
          <w:szCs w:val="28"/>
        </w:rPr>
        <w:t xml:space="preserve">Survey of key performance indicators (KPIs) </w:t>
      </w:r>
    </w:p>
    <w:p w:rsidR="00243BCC" w:rsidRDefault="00243BCC">
      <w:pPr>
        <w:rPr>
          <w:rFonts w:eastAsia="Calibri" w:hAnsi="Calibri" w:cs="Times New Roman"/>
          <w:bCs/>
          <w:color w:val="000000"/>
          <w:kern w:val="24"/>
          <w:lang w:eastAsia="en-GB"/>
        </w:rPr>
      </w:pPr>
      <w:r w:rsidRPr="00243BCC">
        <w:rPr>
          <w:rFonts w:eastAsia="Calibri" w:hAnsi="Calibri" w:cs="Times New Roman"/>
          <w:bCs/>
          <w:color w:val="000000"/>
          <w:kern w:val="24"/>
          <w:lang w:eastAsia="en-GB"/>
        </w:rPr>
        <w:t>Conducted with whole consortium at Rotterdam International Meeting</w:t>
      </w:r>
      <w:r w:rsidR="00D15DB9">
        <w:rPr>
          <w:rFonts w:eastAsia="Calibri" w:hAnsi="Calibri" w:cs="Times New Roman"/>
          <w:bCs/>
          <w:color w:val="000000"/>
          <w:kern w:val="24"/>
          <w:lang w:eastAsia="en-GB"/>
        </w:rPr>
        <w:t>, 25-27 September 2019 (programme in Appendix)</w:t>
      </w:r>
    </w:p>
    <w:p w:rsidR="00D15DB9" w:rsidRDefault="00667BD7">
      <w:pPr>
        <w:rPr>
          <w:rFonts w:eastAsia="Calibri" w:hAnsi="Calibri" w:cs="Times New Roman"/>
          <w:bCs/>
          <w:color w:val="000000"/>
          <w:kern w:val="24"/>
          <w:lang w:eastAsia="en-GB"/>
        </w:rPr>
      </w:pPr>
      <w:r>
        <w:rPr>
          <w:rFonts w:eastAsia="Calibri" w:hAnsi="Calibri" w:cs="Times New Roman"/>
          <w:bCs/>
          <w:color w:val="000000"/>
          <w:kern w:val="24"/>
          <w:lang w:eastAsia="en-GB"/>
        </w:rPr>
        <w:t xml:space="preserve"> </w:t>
      </w:r>
      <w:r w:rsidR="00C5624F">
        <w:rPr>
          <w:rFonts w:eastAsia="Calibri" w:hAnsi="Calibri" w:cs="Times New Roman"/>
          <w:bCs/>
          <w:color w:val="000000"/>
          <w:kern w:val="24"/>
          <w:lang w:eastAsia="en-GB"/>
        </w:rPr>
        <w:t>Attendees:</w:t>
      </w:r>
    </w:p>
    <w:tbl>
      <w:tblPr>
        <w:tblStyle w:val="TableGrid"/>
        <w:tblW w:w="0" w:type="auto"/>
        <w:tblLook w:val="04A0" w:firstRow="1" w:lastRow="0" w:firstColumn="1" w:lastColumn="0" w:noHBand="0" w:noVBand="1"/>
      </w:tblPr>
      <w:tblGrid>
        <w:gridCol w:w="4649"/>
        <w:gridCol w:w="4649"/>
        <w:gridCol w:w="4650"/>
      </w:tblGrid>
      <w:tr w:rsidR="00D15DB9" w:rsidTr="007C7594">
        <w:tc>
          <w:tcPr>
            <w:tcW w:w="4649" w:type="dxa"/>
          </w:tcPr>
          <w:p w:rsidR="00D15DB9" w:rsidRPr="00D15DB9" w:rsidRDefault="00D15DB9" w:rsidP="007C7594">
            <w:pPr>
              <w:rPr>
                <w:rFonts w:eastAsia="Calibri" w:hAnsi="Calibri" w:cs="Times New Roman"/>
                <w:b/>
                <w:bCs/>
                <w:color w:val="000000"/>
                <w:kern w:val="24"/>
                <w:lang w:eastAsia="en-GB"/>
              </w:rPr>
            </w:pPr>
            <w:r w:rsidRPr="00D15DB9">
              <w:rPr>
                <w:rFonts w:eastAsia="Calibri" w:hAnsi="Calibri" w:cs="Times New Roman"/>
                <w:b/>
                <w:bCs/>
                <w:color w:val="000000"/>
                <w:kern w:val="24"/>
                <w:lang w:eastAsia="en-GB"/>
              </w:rPr>
              <w:t>Partner name</w:t>
            </w:r>
          </w:p>
        </w:tc>
        <w:tc>
          <w:tcPr>
            <w:tcW w:w="4649" w:type="dxa"/>
          </w:tcPr>
          <w:p w:rsidR="00D15DB9" w:rsidRPr="00D15DB9" w:rsidRDefault="00D15DB9" w:rsidP="007C7594">
            <w:pPr>
              <w:rPr>
                <w:rFonts w:eastAsia="Calibri" w:hAnsi="Calibri" w:cs="Times New Roman"/>
                <w:b/>
                <w:bCs/>
                <w:color w:val="000000"/>
                <w:kern w:val="24"/>
                <w:lang w:eastAsia="en-GB"/>
              </w:rPr>
            </w:pPr>
            <w:r w:rsidRPr="00D15DB9">
              <w:rPr>
                <w:rFonts w:eastAsia="Calibri" w:hAnsi="Calibri" w:cs="Times New Roman"/>
                <w:b/>
                <w:bCs/>
                <w:color w:val="000000"/>
                <w:kern w:val="24"/>
                <w:lang w:eastAsia="en-GB"/>
              </w:rPr>
              <w:t>Affiliation</w:t>
            </w:r>
          </w:p>
        </w:tc>
        <w:tc>
          <w:tcPr>
            <w:tcW w:w="4650" w:type="dxa"/>
          </w:tcPr>
          <w:p w:rsidR="00D15DB9" w:rsidRPr="00D15DB9" w:rsidRDefault="00D15DB9" w:rsidP="007C7594">
            <w:pPr>
              <w:rPr>
                <w:rFonts w:eastAsia="Calibri" w:hAnsi="Calibri" w:cs="Times New Roman"/>
                <w:b/>
                <w:bCs/>
                <w:color w:val="000000"/>
                <w:kern w:val="24"/>
                <w:lang w:eastAsia="en-GB"/>
              </w:rPr>
            </w:pPr>
            <w:r w:rsidRPr="00D15DB9">
              <w:rPr>
                <w:rFonts w:eastAsia="Calibri" w:hAnsi="Calibri" w:cs="Times New Roman"/>
                <w:b/>
                <w:bCs/>
                <w:color w:val="000000"/>
                <w:kern w:val="24"/>
                <w:lang w:eastAsia="en-GB"/>
              </w:rPr>
              <w:t>Role</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Sue Charlesworth (PI), Joanne Noone, Julia Stew</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Coventry University, UK</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WP1</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Jana Fried</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Coventry University, UK</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WP2</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Marco Van De Wiel</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Coventry University, UK</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WP3</w:t>
            </w:r>
          </w:p>
        </w:tc>
      </w:tr>
      <w:tr w:rsidR="00D15DB9" w:rsidTr="007C7594">
        <w:tc>
          <w:tcPr>
            <w:tcW w:w="4649" w:type="dxa"/>
          </w:tcPr>
          <w:p w:rsidR="00D15DB9" w:rsidRPr="00667BD7" w:rsidRDefault="00D15DB9" w:rsidP="007C7594">
            <w:pPr>
              <w:rPr>
                <w:rFonts w:cstheme="minorHAnsi"/>
                <w:lang w:val="en-US"/>
              </w:rPr>
            </w:pPr>
            <w:r w:rsidRPr="00667BD7">
              <w:rPr>
                <w:rFonts w:cstheme="minorHAnsi"/>
                <w:lang w:val="en-US"/>
              </w:rPr>
              <w:t>Taoyuan Wei</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CICERO, Norway</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WP4</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Daniel Black</w:t>
            </w:r>
          </w:p>
        </w:tc>
        <w:tc>
          <w:tcPr>
            <w:tcW w:w="4649" w:type="dxa"/>
          </w:tcPr>
          <w:p w:rsidR="00D15DB9" w:rsidRDefault="00D15DB9" w:rsidP="007C7594">
            <w:pPr>
              <w:rPr>
                <w:rFonts w:eastAsia="Calibri" w:hAnsi="Calibri" w:cs="Times New Roman"/>
                <w:bCs/>
                <w:color w:val="000000"/>
                <w:kern w:val="24"/>
                <w:lang w:eastAsia="en-GB"/>
              </w:rPr>
            </w:pPr>
            <w:r w:rsidRPr="00235B8B">
              <w:rPr>
                <w:rFonts w:eastAsia="Calibri" w:hAnsi="Calibri" w:cs="Times New Roman"/>
                <w:bCs/>
                <w:color w:val="000000"/>
                <w:kern w:val="24"/>
                <w:lang w:eastAsia="en-GB"/>
              </w:rPr>
              <w:t xml:space="preserve">Daniel Black + Associates | </w:t>
            </w:r>
            <w:proofErr w:type="spellStart"/>
            <w:r w:rsidRPr="00235B8B">
              <w:rPr>
                <w:rFonts w:eastAsia="Calibri" w:hAnsi="Calibri" w:cs="Times New Roman"/>
                <w:bCs/>
                <w:color w:val="000000"/>
                <w:kern w:val="24"/>
                <w:lang w:eastAsia="en-GB"/>
              </w:rPr>
              <w:t>db+a</w:t>
            </w:r>
            <w:proofErr w:type="spellEnd"/>
            <w:r>
              <w:rPr>
                <w:rFonts w:eastAsia="Calibri" w:hAnsi="Calibri" w:cs="Times New Roman"/>
                <w:bCs/>
                <w:color w:val="000000"/>
                <w:kern w:val="24"/>
                <w:lang w:eastAsia="en-GB"/>
              </w:rPr>
              <w:t>, UK</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WP5 and Bristol ULL</w:t>
            </w:r>
          </w:p>
        </w:tc>
      </w:tr>
      <w:tr w:rsidR="00D15DB9" w:rsidTr="007C7594">
        <w:tc>
          <w:tcPr>
            <w:tcW w:w="4649" w:type="dxa"/>
          </w:tcPr>
          <w:p w:rsidR="00D15DB9" w:rsidRDefault="00D15DB9" w:rsidP="007C7594">
            <w:pPr>
              <w:rPr>
                <w:rFonts w:eastAsia="Calibri" w:hAnsi="Calibri" w:cs="Times New Roman"/>
                <w:bCs/>
                <w:color w:val="000000"/>
                <w:kern w:val="24"/>
                <w:lang w:eastAsia="en-GB"/>
              </w:rPr>
            </w:pPr>
            <w:proofErr w:type="spellStart"/>
            <w:r>
              <w:rPr>
                <w:rFonts w:eastAsia="Calibri" w:hAnsi="Calibri" w:cs="Times New Roman"/>
                <w:bCs/>
                <w:color w:val="000000"/>
                <w:kern w:val="24"/>
                <w:lang w:eastAsia="en-GB"/>
              </w:rPr>
              <w:t>Timo</w:t>
            </w:r>
            <w:proofErr w:type="spellEnd"/>
            <w:r>
              <w:rPr>
                <w:rFonts w:eastAsia="Calibri" w:hAnsi="Calibri" w:cs="Times New Roman"/>
                <w:bCs/>
                <w:color w:val="000000"/>
                <w:kern w:val="24"/>
                <w:lang w:eastAsia="en-GB"/>
              </w:rPr>
              <w:t xml:space="preserve"> von Wirth</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DRIFT, The Netherlands</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WP6 and Rotterdam ULL</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 xml:space="preserve">Adina </w:t>
            </w:r>
            <w:proofErr w:type="spellStart"/>
            <w:r>
              <w:rPr>
                <w:rFonts w:eastAsia="Calibri" w:hAnsi="Calibri" w:cs="Times New Roman"/>
                <w:bCs/>
                <w:color w:val="000000"/>
                <w:kern w:val="24"/>
                <w:lang w:eastAsia="en-GB"/>
              </w:rPr>
              <w:t>Paytan</w:t>
            </w:r>
            <w:proofErr w:type="spellEnd"/>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University of Santa Cruz, USA</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WP7</w:t>
            </w:r>
          </w:p>
        </w:tc>
      </w:tr>
      <w:tr w:rsidR="00D15DB9" w:rsidTr="007C7594">
        <w:tc>
          <w:tcPr>
            <w:tcW w:w="4649" w:type="dxa"/>
          </w:tcPr>
          <w:p w:rsidR="00D15DB9" w:rsidRDefault="00D15DB9" w:rsidP="007C7594">
            <w:pPr>
              <w:rPr>
                <w:rFonts w:eastAsia="Calibri" w:hAnsi="Calibri" w:cs="Times New Roman"/>
                <w:bCs/>
                <w:color w:val="000000"/>
                <w:kern w:val="24"/>
                <w:lang w:eastAsia="en-GB"/>
              </w:rPr>
            </w:pPr>
          </w:p>
        </w:tc>
        <w:tc>
          <w:tcPr>
            <w:tcW w:w="4649" w:type="dxa"/>
          </w:tcPr>
          <w:p w:rsidR="00D15DB9" w:rsidRDefault="00D15DB9" w:rsidP="007C7594">
            <w:pPr>
              <w:rPr>
                <w:rFonts w:eastAsia="Calibri" w:hAnsi="Calibri" w:cs="Times New Roman"/>
                <w:bCs/>
                <w:color w:val="000000"/>
                <w:kern w:val="24"/>
                <w:lang w:eastAsia="en-GB"/>
              </w:rPr>
            </w:pPr>
          </w:p>
        </w:tc>
        <w:tc>
          <w:tcPr>
            <w:tcW w:w="4650" w:type="dxa"/>
          </w:tcPr>
          <w:p w:rsidR="00D15DB9" w:rsidRDefault="00D15DB9" w:rsidP="007C7594">
            <w:pPr>
              <w:rPr>
                <w:rFonts w:eastAsia="Calibri" w:hAnsi="Calibri" w:cs="Times New Roman"/>
                <w:bCs/>
                <w:color w:val="000000"/>
                <w:kern w:val="24"/>
                <w:lang w:eastAsia="en-GB"/>
              </w:rPr>
            </w:pPr>
          </w:p>
        </w:tc>
      </w:tr>
      <w:tr w:rsidR="00D15DB9" w:rsidTr="007C7594">
        <w:tc>
          <w:tcPr>
            <w:tcW w:w="4649" w:type="dxa"/>
          </w:tcPr>
          <w:p w:rsidR="00D15DB9" w:rsidRPr="00D15DB9" w:rsidRDefault="00D15DB9" w:rsidP="007C7594">
            <w:pPr>
              <w:rPr>
                <w:rFonts w:eastAsia="Calibri" w:hAnsi="Calibri" w:cs="Times New Roman"/>
                <w:b/>
                <w:bCs/>
                <w:color w:val="000000"/>
                <w:kern w:val="24"/>
                <w:lang w:eastAsia="en-GB"/>
              </w:rPr>
            </w:pPr>
            <w:r w:rsidRPr="00D15DB9">
              <w:rPr>
                <w:rFonts w:eastAsia="Calibri" w:hAnsi="Calibri" w:cs="Times New Roman"/>
                <w:b/>
                <w:bCs/>
                <w:color w:val="000000"/>
                <w:kern w:val="24"/>
                <w:lang w:eastAsia="en-GB"/>
              </w:rPr>
              <w:t>Urban Living Labs</w:t>
            </w:r>
          </w:p>
        </w:tc>
        <w:tc>
          <w:tcPr>
            <w:tcW w:w="4649" w:type="dxa"/>
          </w:tcPr>
          <w:p w:rsidR="00D15DB9" w:rsidRDefault="00D15DB9" w:rsidP="007C7594">
            <w:pPr>
              <w:rPr>
                <w:rFonts w:eastAsia="Calibri" w:hAnsi="Calibri" w:cs="Times New Roman"/>
                <w:bCs/>
                <w:color w:val="000000"/>
                <w:kern w:val="24"/>
                <w:lang w:eastAsia="en-GB"/>
              </w:rPr>
            </w:pPr>
          </w:p>
        </w:tc>
        <w:tc>
          <w:tcPr>
            <w:tcW w:w="4650" w:type="dxa"/>
          </w:tcPr>
          <w:p w:rsidR="00D15DB9" w:rsidRDefault="00D15DB9" w:rsidP="007C7594">
            <w:pPr>
              <w:rPr>
                <w:rFonts w:eastAsia="Calibri" w:hAnsi="Calibri" w:cs="Times New Roman"/>
                <w:bCs/>
                <w:color w:val="000000"/>
                <w:kern w:val="24"/>
                <w:lang w:eastAsia="en-GB"/>
              </w:rPr>
            </w:pP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Kevin Winter</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University of Cape Town, RSA</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Western Cape</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 xml:space="preserve">Ester Dal </w:t>
            </w:r>
            <w:proofErr w:type="spellStart"/>
            <w:r>
              <w:rPr>
                <w:rFonts w:eastAsia="Calibri" w:hAnsi="Calibri" w:cs="Times New Roman"/>
                <w:bCs/>
                <w:color w:val="000000"/>
                <w:kern w:val="24"/>
                <w:lang w:eastAsia="en-GB"/>
              </w:rPr>
              <w:t>Poz</w:t>
            </w:r>
            <w:proofErr w:type="spellEnd"/>
            <w:r>
              <w:rPr>
                <w:rFonts w:eastAsia="Calibri" w:hAnsi="Calibri" w:cs="Times New Roman"/>
                <w:bCs/>
                <w:color w:val="000000"/>
                <w:kern w:val="24"/>
                <w:lang w:eastAsia="en-GB"/>
              </w:rPr>
              <w:t>, Erika Francisco</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Campinas, Brazil</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Sao Paulo</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Rachel Greer</w:t>
            </w:r>
          </w:p>
        </w:tc>
        <w:tc>
          <w:tcPr>
            <w:tcW w:w="4649" w:type="dxa"/>
          </w:tcPr>
          <w:p w:rsidR="00D15DB9" w:rsidRDefault="00D15DB9" w:rsidP="007C7594">
            <w:pPr>
              <w:rPr>
                <w:rFonts w:eastAsia="Calibri" w:hAnsi="Calibri" w:cs="Times New Roman"/>
                <w:bCs/>
                <w:color w:val="000000"/>
                <w:kern w:val="24"/>
                <w:lang w:eastAsia="en-GB"/>
              </w:rPr>
            </w:pPr>
            <w:r w:rsidRPr="00235B8B">
              <w:rPr>
                <w:rFonts w:eastAsia="Calibri" w:hAnsi="Calibri" w:cs="Times New Roman"/>
                <w:bCs/>
                <w:color w:val="000000"/>
                <w:kern w:val="24"/>
                <w:lang w:eastAsia="en-GB"/>
              </w:rPr>
              <w:t>DRIFT, The Netherlands</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Rotterdam</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Richard Nunes</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Reading University, UK</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Bristol</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Ulrich Schmutz</w:t>
            </w:r>
          </w:p>
        </w:tc>
        <w:tc>
          <w:tcPr>
            <w:tcW w:w="4649" w:type="dxa"/>
          </w:tcPr>
          <w:p w:rsidR="00D15DB9" w:rsidRDefault="00D15DB9" w:rsidP="007C7594">
            <w:pPr>
              <w:rPr>
                <w:rFonts w:eastAsia="Calibri" w:hAnsi="Calibri" w:cs="Times New Roman"/>
                <w:bCs/>
                <w:color w:val="000000"/>
                <w:kern w:val="24"/>
                <w:lang w:eastAsia="en-GB"/>
              </w:rPr>
            </w:pPr>
            <w:r w:rsidRPr="00235B8B">
              <w:rPr>
                <w:rFonts w:eastAsia="Calibri" w:hAnsi="Calibri" w:cs="Times New Roman"/>
                <w:bCs/>
                <w:color w:val="000000"/>
                <w:kern w:val="24"/>
                <w:lang w:eastAsia="en-GB"/>
              </w:rPr>
              <w:t>Coventry University, UK</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Bristol</w:t>
            </w:r>
          </w:p>
        </w:tc>
      </w:tr>
      <w:tr w:rsidR="00D15DB9" w:rsidTr="007C7594">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Eleanor Eaton</w:t>
            </w:r>
          </w:p>
        </w:tc>
        <w:tc>
          <w:tcPr>
            <w:tcW w:w="4649"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Bath University, UK</w:t>
            </w:r>
          </w:p>
        </w:tc>
        <w:tc>
          <w:tcPr>
            <w:tcW w:w="4650" w:type="dxa"/>
          </w:tcPr>
          <w:p w:rsidR="00D15DB9" w:rsidRDefault="00D15DB9" w:rsidP="007C7594">
            <w:pPr>
              <w:rPr>
                <w:rFonts w:eastAsia="Calibri" w:hAnsi="Calibri" w:cs="Times New Roman"/>
                <w:bCs/>
                <w:color w:val="000000"/>
                <w:kern w:val="24"/>
                <w:lang w:eastAsia="en-GB"/>
              </w:rPr>
            </w:pPr>
            <w:r>
              <w:rPr>
                <w:rFonts w:eastAsia="Calibri" w:hAnsi="Calibri" w:cs="Times New Roman"/>
                <w:bCs/>
                <w:color w:val="000000"/>
                <w:kern w:val="24"/>
                <w:lang w:eastAsia="en-GB"/>
              </w:rPr>
              <w:t>Bristol</w:t>
            </w:r>
          </w:p>
        </w:tc>
      </w:tr>
    </w:tbl>
    <w:p w:rsidR="00C5624F" w:rsidRDefault="00C5624F" w:rsidP="00D15DB9">
      <w:pPr>
        <w:rPr>
          <w:rFonts w:eastAsia="Calibri" w:hAnsi="Calibri" w:cs="Times New Roman"/>
          <w:bCs/>
          <w:color w:val="000000"/>
          <w:kern w:val="24"/>
          <w:lang w:eastAsia="en-GB"/>
        </w:rPr>
      </w:pPr>
    </w:p>
    <w:p w:rsidR="00C5624F" w:rsidRDefault="00C5624F" w:rsidP="00D15DB9">
      <w:pPr>
        <w:rPr>
          <w:rFonts w:eastAsia="Calibri" w:hAnsi="Calibri" w:cs="Times New Roman"/>
          <w:bCs/>
          <w:color w:val="000000"/>
          <w:kern w:val="24"/>
          <w:lang w:eastAsia="en-GB"/>
        </w:rPr>
      </w:pPr>
    </w:p>
    <w:p w:rsidR="00C5624F" w:rsidRDefault="00C5624F" w:rsidP="00D15DB9">
      <w:pPr>
        <w:rPr>
          <w:rFonts w:eastAsia="Calibri" w:hAnsi="Calibri" w:cs="Times New Roman"/>
          <w:bCs/>
          <w:color w:val="000000"/>
          <w:kern w:val="24"/>
          <w:lang w:eastAsia="en-GB"/>
        </w:rPr>
      </w:pPr>
    </w:p>
    <w:p w:rsidR="00C5624F" w:rsidRDefault="00C5624F" w:rsidP="00D15DB9">
      <w:pPr>
        <w:rPr>
          <w:rFonts w:eastAsia="Calibri" w:hAnsi="Calibri" w:cs="Times New Roman"/>
          <w:bCs/>
          <w:color w:val="000000"/>
          <w:kern w:val="24"/>
          <w:lang w:eastAsia="en-GB"/>
        </w:rPr>
      </w:pPr>
    </w:p>
    <w:p w:rsidR="00D15DB9" w:rsidRDefault="00D15DB9" w:rsidP="00D15DB9">
      <w:r>
        <w:lastRenderedPageBreak/>
        <w:t>KPIs considered: Objectives of the project, Milestones and Deliverables.</w:t>
      </w:r>
    </w:p>
    <w:p w:rsidR="00D15DB9" w:rsidRDefault="00D15DB9" w:rsidP="00D15DB9">
      <w:r>
        <w:t xml:space="preserve">During the meeting, activities were agreed, and dates of delivery were also agreed. In some cases, it was agreed that more flexibility was required, such as in the case of Impact (WP 5) as documentation regarding Impact cannot be produced until results of the stakeholder engagement, workshops and setting up and running of the ULLs was completed. We agreed that the Impact documentation would be a “working document” which would be produced with the completion of the project. The Economic Valuation (WP4) was also considered to be an evolving WP as the ULLs considered their own micro-economic analysis. </w:t>
      </w:r>
    </w:p>
    <w:p w:rsidR="00D15DB9" w:rsidRDefault="00D15DB9" w:rsidP="00D15DB9"/>
    <w:tbl>
      <w:tblPr>
        <w:tblW w:w="13780" w:type="dxa"/>
        <w:tblCellMar>
          <w:left w:w="0" w:type="dxa"/>
          <w:right w:w="0" w:type="dxa"/>
        </w:tblCellMar>
        <w:tblLook w:val="04A0" w:firstRow="1" w:lastRow="0" w:firstColumn="1" w:lastColumn="0" w:noHBand="0" w:noVBand="1"/>
      </w:tblPr>
      <w:tblGrid>
        <w:gridCol w:w="13780"/>
      </w:tblGrid>
      <w:tr w:rsidR="004D60A1" w:rsidRPr="004D60A1" w:rsidTr="004D60A1">
        <w:trPr>
          <w:trHeight w:val="300"/>
        </w:trPr>
        <w:tc>
          <w:tcPr>
            <w:tcW w:w="13780" w:type="dxa"/>
            <w:tcBorders>
              <w:top w:val="single" w:sz="8" w:space="0" w:color="BBBBBB"/>
              <w:left w:val="single" w:sz="8" w:space="0" w:color="BBBBBB"/>
              <w:bottom w:val="single" w:sz="8" w:space="0" w:color="BBBBBB"/>
              <w:right w:val="single" w:sz="8" w:space="0" w:color="BBBBBB"/>
            </w:tcBorders>
            <w:shd w:val="clear" w:color="auto" w:fill="E2EFD9"/>
            <w:tcMar>
              <w:top w:w="15" w:type="dxa"/>
              <w:left w:w="80" w:type="dxa"/>
              <w:bottom w:w="0" w:type="dxa"/>
              <w:right w:w="80" w:type="dxa"/>
            </w:tcMar>
            <w:vAlign w:val="center"/>
            <w:hideMark/>
          </w:tcPr>
          <w:p w:rsidR="004D60A1" w:rsidRPr="004D60A1" w:rsidRDefault="004D60A1" w:rsidP="004D60A1">
            <w:pPr>
              <w:spacing w:after="120" w:line="276" w:lineRule="auto"/>
              <w:rPr>
                <w:rFonts w:ascii="Arial" w:eastAsia="Times New Roman" w:hAnsi="Arial" w:cs="Arial"/>
                <w:sz w:val="36"/>
                <w:szCs w:val="36"/>
                <w:lang w:eastAsia="en-GB"/>
              </w:rPr>
            </w:pPr>
            <w:r w:rsidRPr="004D60A1">
              <w:rPr>
                <w:rFonts w:eastAsia="Calibri" w:hAnsi="Calibri" w:cs="Times New Roman"/>
                <w:b/>
                <w:bCs/>
                <w:color w:val="000000"/>
                <w:kern w:val="24"/>
                <w:lang w:eastAsia="en-GB"/>
              </w:rPr>
              <w:t>Objectives of WASTE FEW ULL</w:t>
            </w:r>
          </w:p>
        </w:tc>
      </w:tr>
      <w:tr w:rsidR="004D60A1" w:rsidRPr="004D60A1" w:rsidTr="00D15DB9">
        <w:trPr>
          <w:trHeight w:val="3368"/>
        </w:trPr>
        <w:tc>
          <w:tcPr>
            <w:tcW w:w="13780" w:type="dxa"/>
            <w:tcBorders>
              <w:top w:val="single" w:sz="8" w:space="0" w:color="BBBBBB"/>
              <w:left w:val="single" w:sz="8" w:space="0" w:color="BBBBBB"/>
              <w:bottom w:val="single" w:sz="8" w:space="0" w:color="BBBBBB"/>
              <w:right w:val="single" w:sz="8" w:space="0" w:color="BBBBBB"/>
            </w:tcBorders>
            <w:shd w:val="clear" w:color="auto" w:fill="auto"/>
            <w:tcMar>
              <w:top w:w="15" w:type="dxa"/>
              <w:left w:w="80" w:type="dxa"/>
              <w:bottom w:w="0" w:type="dxa"/>
              <w:right w:w="80" w:type="dxa"/>
            </w:tcMar>
            <w:hideMark/>
          </w:tcPr>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 xml:space="preserve">Formally ‘open’ each ULL, with stakeholder groups </w:t>
            </w:r>
          </w:p>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Co-create with ULL stakeholders an understanding of resource inefficiencies by sourcing data, mapping waste streams and agreeing focus areas</w:t>
            </w:r>
          </w:p>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Agree likely pathways to impact in each ULL</w:t>
            </w:r>
          </w:p>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Quantify in monetary terms the micro and macro-economic impact of these increased waste efficiencies, using both market and non-market valuation</w:t>
            </w:r>
          </w:p>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Enable each ULL to close (or start to close) the loops in one to three critical resource flows</w:t>
            </w:r>
          </w:p>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Establish a PhD-led knowledge exchange programme to share and analyse findings across all partner countries</w:t>
            </w:r>
          </w:p>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Produce and disseminate a knowledge “tool-box” and public education resources to share with other urban regions around the world</w:t>
            </w:r>
          </w:p>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 xml:space="preserve">Establish a strong network of all ULLs and associated collaborating organisations that will ensure the continuation of collaborative work after the end of the project (project legacy) </w:t>
            </w:r>
          </w:p>
          <w:p w:rsidR="004D60A1" w:rsidRPr="004D60A1" w:rsidRDefault="004D60A1" w:rsidP="004D60A1">
            <w:pPr>
              <w:numPr>
                <w:ilvl w:val="0"/>
                <w:numId w:val="1"/>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Deliver research excellence with participatory research methods</w:t>
            </w:r>
          </w:p>
        </w:tc>
      </w:tr>
      <w:tr w:rsidR="004D60A1" w:rsidRPr="004D60A1" w:rsidTr="004D60A1">
        <w:trPr>
          <w:trHeight w:val="397"/>
        </w:trPr>
        <w:tc>
          <w:tcPr>
            <w:tcW w:w="13780" w:type="dxa"/>
            <w:tcBorders>
              <w:top w:val="single" w:sz="8" w:space="0" w:color="BBBBBB"/>
              <w:left w:val="single" w:sz="8" w:space="0" w:color="BBBBBB"/>
              <w:bottom w:val="single" w:sz="8" w:space="0" w:color="BBBBBB"/>
              <w:right w:val="single" w:sz="8" w:space="0" w:color="BBBBBB"/>
            </w:tcBorders>
            <w:shd w:val="clear" w:color="auto" w:fill="E2EFD9"/>
            <w:tcMar>
              <w:top w:w="15" w:type="dxa"/>
              <w:left w:w="80" w:type="dxa"/>
              <w:bottom w:w="0" w:type="dxa"/>
              <w:right w:w="80" w:type="dxa"/>
            </w:tcMar>
            <w:hideMark/>
          </w:tcPr>
          <w:p w:rsidR="004D60A1" w:rsidRPr="004D60A1" w:rsidRDefault="004D60A1" w:rsidP="004D60A1">
            <w:pPr>
              <w:spacing w:after="120" w:line="276" w:lineRule="auto"/>
              <w:rPr>
                <w:rFonts w:ascii="Arial" w:eastAsia="Times New Roman" w:hAnsi="Arial" w:cs="Arial"/>
                <w:sz w:val="36"/>
                <w:szCs w:val="36"/>
                <w:lang w:eastAsia="en-GB"/>
              </w:rPr>
            </w:pPr>
            <w:r w:rsidRPr="004D60A1">
              <w:rPr>
                <w:rFonts w:eastAsia="Calibri" w:hAnsi="Calibri" w:cs="Times New Roman"/>
                <w:b/>
                <w:bCs/>
                <w:color w:val="000000"/>
                <w:kern w:val="24"/>
                <w:lang w:eastAsia="en-GB"/>
              </w:rPr>
              <w:t>Outcomes of WASTE FEW ULL</w:t>
            </w:r>
          </w:p>
        </w:tc>
      </w:tr>
      <w:tr w:rsidR="004D60A1" w:rsidRPr="004D60A1" w:rsidTr="00D15DB9">
        <w:trPr>
          <w:trHeight w:val="1197"/>
        </w:trPr>
        <w:tc>
          <w:tcPr>
            <w:tcW w:w="13780" w:type="dxa"/>
            <w:tcBorders>
              <w:top w:val="single" w:sz="8" w:space="0" w:color="BBBBBB"/>
              <w:left w:val="single" w:sz="8" w:space="0" w:color="BBBBBB"/>
              <w:bottom w:val="single" w:sz="8" w:space="0" w:color="BBBBBB"/>
              <w:right w:val="single" w:sz="8" w:space="0" w:color="BBBBBB"/>
            </w:tcBorders>
            <w:shd w:val="clear" w:color="auto" w:fill="auto"/>
            <w:tcMar>
              <w:top w:w="15" w:type="dxa"/>
              <w:left w:w="80" w:type="dxa"/>
              <w:bottom w:w="0" w:type="dxa"/>
              <w:right w:w="80" w:type="dxa"/>
            </w:tcMar>
            <w:hideMark/>
          </w:tcPr>
          <w:p w:rsidR="004D60A1" w:rsidRPr="004D60A1" w:rsidRDefault="004D60A1" w:rsidP="004D60A1">
            <w:pPr>
              <w:numPr>
                <w:ilvl w:val="0"/>
                <w:numId w:val="2"/>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Comprehensive mapping in each ULL of resource flows, existing inefficiencies, controlling agencies and endogenous/exogenous variables</w:t>
            </w:r>
          </w:p>
          <w:p w:rsidR="004D60A1" w:rsidRPr="004D60A1" w:rsidRDefault="004D60A1" w:rsidP="004D60A1">
            <w:pPr>
              <w:numPr>
                <w:ilvl w:val="0"/>
                <w:numId w:val="2"/>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Solutions to one to three specific WASTE FEW ULL inefficiencies agreed in each ULL</w:t>
            </w:r>
          </w:p>
          <w:p w:rsidR="004D60A1" w:rsidRPr="004D60A1" w:rsidRDefault="004D60A1" w:rsidP="004D60A1">
            <w:pPr>
              <w:numPr>
                <w:ilvl w:val="0"/>
                <w:numId w:val="2"/>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Economic valuations of cost-benefit (macro and non-market) in each ULL</w:t>
            </w:r>
          </w:p>
          <w:p w:rsidR="004D60A1" w:rsidRPr="004D60A1" w:rsidRDefault="004D60A1" w:rsidP="004D60A1">
            <w:pPr>
              <w:numPr>
                <w:ilvl w:val="0"/>
                <w:numId w:val="2"/>
              </w:numPr>
              <w:spacing w:after="120" w:line="240" w:lineRule="auto"/>
              <w:ind w:left="1267"/>
              <w:contextualSpacing/>
              <w:rPr>
                <w:rFonts w:ascii="Arial" w:eastAsia="Times New Roman" w:hAnsi="Arial" w:cs="Arial"/>
                <w:szCs w:val="36"/>
                <w:lang w:eastAsia="en-GB"/>
              </w:rPr>
            </w:pPr>
            <w:r w:rsidRPr="004D60A1">
              <w:rPr>
                <w:rFonts w:eastAsia="Times New Roman" w:hAnsi="Calibri" w:cs="Times New Roman"/>
                <w:color w:val="000000" w:themeColor="text1"/>
                <w:kern w:val="24"/>
                <w:lang w:eastAsia="en-GB"/>
              </w:rPr>
              <w:t>Evidence of impact: influence count of public outreach, behaviour change, policy take up</w:t>
            </w:r>
          </w:p>
        </w:tc>
      </w:tr>
    </w:tbl>
    <w:p w:rsidR="004D60A1" w:rsidRDefault="004D60A1"/>
    <w:p w:rsidR="0097472D" w:rsidRDefault="0097472D"/>
    <w:p w:rsidR="0097472D" w:rsidRDefault="0097472D"/>
    <w:tbl>
      <w:tblPr>
        <w:tblStyle w:val="TableGrid"/>
        <w:tblW w:w="0" w:type="auto"/>
        <w:tblLook w:val="04A0" w:firstRow="1" w:lastRow="0" w:firstColumn="1" w:lastColumn="0" w:noHBand="0" w:noVBand="1"/>
      </w:tblPr>
      <w:tblGrid>
        <w:gridCol w:w="6658"/>
        <w:gridCol w:w="7290"/>
      </w:tblGrid>
      <w:tr w:rsidR="00AC3A49" w:rsidTr="00AC3A49">
        <w:tc>
          <w:tcPr>
            <w:tcW w:w="6658" w:type="dxa"/>
          </w:tcPr>
          <w:p w:rsidR="00AC3A49" w:rsidRDefault="00AC3A49">
            <w:r>
              <w:t>Our project specifically addresses the following objectives of the original call:</w:t>
            </w:r>
          </w:p>
        </w:tc>
        <w:tc>
          <w:tcPr>
            <w:tcW w:w="7290" w:type="dxa"/>
          </w:tcPr>
          <w:p w:rsidR="00AC3A49" w:rsidRDefault="00AC3A49"/>
        </w:tc>
      </w:tr>
      <w:tr w:rsidR="0097472D" w:rsidTr="00AC3A49">
        <w:tc>
          <w:tcPr>
            <w:tcW w:w="6658" w:type="dxa"/>
          </w:tcPr>
          <w:p w:rsidR="0097472D" w:rsidRDefault="0097472D">
            <w:r>
              <w:t>The intersection of food, water, energy sustainable consumption and production, and urbanisation.</w:t>
            </w:r>
          </w:p>
        </w:tc>
        <w:tc>
          <w:tcPr>
            <w:tcW w:w="7290" w:type="dxa"/>
          </w:tcPr>
          <w:p w:rsidR="0097472D" w:rsidRDefault="0097472D">
            <w:r>
              <w:t xml:space="preserve">Our project addresses the 3 sectors in an urban context. </w:t>
            </w:r>
          </w:p>
        </w:tc>
      </w:tr>
      <w:tr w:rsidR="0097472D" w:rsidTr="00AC3A49">
        <w:tc>
          <w:tcPr>
            <w:tcW w:w="6658" w:type="dxa"/>
          </w:tcPr>
          <w:p w:rsidR="0097472D" w:rsidRDefault="0097472D">
            <w:r>
              <w:t>Understanding the regional/global FWE resource-flow connections and impacts on regional and global economies, natural and social systems necessitates transnational projects that connect not only multiple disciplines but also a variety of practitioners such as producers, farmers, other actors in supply chains and services, consumers, community groups, planners, and decision makers (e.g. city authorities).</w:t>
            </w:r>
          </w:p>
        </w:tc>
        <w:tc>
          <w:tcPr>
            <w:tcW w:w="7290" w:type="dxa"/>
          </w:tcPr>
          <w:p w:rsidR="0097472D" w:rsidRDefault="0097472D" w:rsidP="0097472D">
            <w:r>
              <w:t>Our project spans three continents: Europe, Africa and South America.</w:t>
            </w:r>
          </w:p>
          <w:p w:rsidR="0097472D" w:rsidRDefault="0097472D" w:rsidP="0097472D">
            <w:r>
              <w:t xml:space="preserve">We have established four Urban Living Labs (ULL) in 4 cities: Bristol, UK, Rotterdam, the Netherlands, Western Cape, South Africa and Sao Paulo Brazil. They are different in scale, governance, environment, climate, approach but include most of the practitioners listed in the call. </w:t>
            </w:r>
          </w:p>
        </w:tc>
      </w:tr>
      <w:tr w:rsidR="0097472D" w:rsidTr="00AC3A49">
        <w:tc>
          <w:tcPr>
            <w:tcW w:w="6658" w:type="dxa"/>
          </w:tcPr>
          <w:p w:rsidR="0097472D" w:rsidRDefault="0097472D">
            <w:r>
              <w:t>Projects must address all three sectors food, water and energy by an integrative approach.</w:t>
            </w:r>
          </w:p>
        </w:tc>
        <w:tc>
          <w:tcPr>
            <w:tcW w:w="7290" w:type="dxa"/>
          </w:tcPr>
          <w:p w:rsidR="0097472D" w:rsidRDefault="0097472D">
            <w:r>
              <w:t xml:space="preserve">All 3 sectors are addressed in an integrated manner to reflect the context in which they relate to each of the ULLs. </w:t>
            </w:r>
          </w:p>
        </w:tc>
      </w:tr>
      <w:tr w:rsidR="0097472D" w:rsidTr="00AC3A49">
        <w:tc>
          <w:tcPr>
            <w:tcW w:w="6658" w:type="dxa"/>
          </w:tcPr>
          <w:p w:rsidR="0097472D" w:rsidRPr="0097472D" w:rsidRDefault="0097472D">
            <w:pPr>
              <w:rPr>
                <w:b/>
              </w:rPr>
            </w:pPr>
            <w:r w:rsidRPr="0097472D">
              <w:rPr>
                <w:b/>
              </w:rPr>
              <w:t>Mandatory requirements</w:t>
            </w:r>
          </w:p>
        </w:tc>
        <w:tc>
          <w:tcPr>
            <w:tcW w:w="7290" w:type="dxa"/>
          </w:tcPr>
          <w:p w:rsidR="0097472D" w:rsidRDefault="0097472D"/>
        </w:tc>
      </w:tr>
      <w:tr w:rsidR="0097472D" w:rsidTr="00AC3A49">
        <w:tc>
          <w:tcPr>
            <w:tcW w:w="6658" w:type="dxa"/>
          </w:tcPr>
          <w:p w:rsidR="0097472D" w:rsidRPr="0097472D" w:rsidRDefault="00AC3A49">
            <w:pPr>
              <w:rPr>
                <w:b/>
              </w:rPr>
            </w:pPr>
            <w:r>
              <w:t>Includes clear contributions from each of AHRC, ESRC and Innovate UK’s remits</w:t>
            </w:r>
          </w:p>
        </w:tc>
        <w:tc>
          <w:tcPr>
            <w:tcW w:w="7290" w:type="dxa"/>
          </w:tcPr>
          <w:p w:rsidR="0097472D" w:rsidRDefault="00AC3A49">
            <w:r>
              <w:t>Our project includes contributions to each of these remits</w:t>
            </w:r>
          </w:p>
        </w:tc>
      </w:tr>
      <w:tr w:rsidR="0097472D" w:rsidTr="00AC3A49">
        <w:tc>
          <w:tcPr>
            <w:tcW w:w="6658" w:type="dxa"/>
          </w:tcPr>
          <w:p w:rsidR="0097472D" w:rsidRPr="0097472D" w:rsidRDefault="00AC3A49">
            <w:pPr>
              <w:rPr>
                <w:b/>
              </w:rPr>
            </w:pPr>
            <w:r>
              <w:t>Substantial level of (genuine) interdisciplinary activity</w:t>
            </w:r>
          </w:p>
        </w:tc>
        <w:tc>
          <w:tcPr>
            <w:tcW w:w="7290" w:type="dxa"/>
          </w:tcPr>
          <w:p w:rsidR="0097472D" w:rsidRDefault="00AC3A49">
            <w:r>
              <w:t>Our consortium includes natural and social scientists, economists</w:t>
            </w:r>
            <w:r w:rsidR="00C626FB">
              <w:t>, modellers, agroecologists.</w:t>
            </w:r>
          </w:p>
        </w:tc>
      </w:tr>
      <w:tr w:rsidR="0097472D" w:rsidTr="00AC3A49">
        <w:tc>
          <w:tcPr>
            <w:tcW w:w="6658" w:type="dxa"/>
          </w:tcPr>
          <w:p w:rsidR="0097472D" w:rsidRPr="0097472D" w:rsidRDefault="00AC3A49">
            <w:pPr>
              <w:rPr>
                <w:b/>
              </w:rPr>
            </w:pPr>
            <w:r>
              <w:t>Bringing together expertise / methodologies from both the arts / humanities and social sciences.</w:t>
            </w:r>
          </w:p>
        </w:tc>
        <w:tc>
          <w:tcPr>
            <w:tcW w:w="7290" w:type="dxa"/>
          </w:tcPr>
          <w:p w:rsidR="0097472D" w:rsidRDefault="00AC3A49">
            <w:r>
              <w:t xml:space="preserve">Our methodologies are trans and </w:t>
            </w:r>
            <w:proofErr w:type="spellStart"/>
            <w:r>
              <w:t>multi disciplinary</w:t>
            </w:r>
            <w:proofErr w:type="spellEnd"/>
          </w:p>
        </w:tc>
      </w:tr>
      <w:tr w:rsidR="0097472D" w:rsidTr="00AC3A49">
        <w:tc>
          <w:tcPr>
            <w:tcW w:w="6658" w:type="dxa"/>
          </w:tcPr>
          <w:p w:rsidR="0097472D" w:rsidRPr="0097472D" w:rsidRDefault="00AC3A49" w:rsidP="00AC3A49">
            <w:pPr>
              <w:rPr>
                <w:b/>
              </w:rPr>
            </w:pPr>
            <w:r>
              <w:t xml:space="preserve">Seek integrated and smart solutions to the challenges identified in the Call for Proposals document </w:t>
            </w:r>
          </w:p>
        </w:tc>
        <w:tc>
          <w:tcPr>
            <w:tcW w:w="7290" w:type="dxa"/>
          </w:tcPr>
          <w:p w:rsidR="0097472D" w:rsidRDefault="00C626FB">
            <w:r>
              <w:t xml:space="preserve">We will develop a “tool box” of approaches to the issues around the FEW nexus in different contexts globally. </w:t>
            </w:r>
          </w:p>
        </w:tc>
      </w:tr>
      <w:tr w:rsidR="00AC3A49" w:rsidTr="00AC3A49">
        <w:tc>
          <w:tcPr>
            <w:tcW w:w="6658" w:type="dxa"/>
          </w:tcPr>
          <w:p w:rsidR="00AC3A49" w:rsidRPr="0097472D" w:rsidRDefault="00AC3A49">
            <w:pPr>
              <w:rPr>
                <w:b/>
              </w:rPr>
            </w:pPr>
            <w:r>
              <w:t>Collaboration with a business/industry partner(s) (eligible for Innovate UK funding) is essential</w:t>
            </w:r>
          </w:p>
        </w:tc>
        <w:tc>
          <w:tcPr>
            <w:tcW w:w="7290" w:type="dxa"/>
          </w:tcPr>
          <w:p w:rsidR="00AC3A49" w:rsidRDefault="00AC3A49">
            <w:r>
              <w:t xml:space="preserve">We have engaged with a great many stakeholders including local authorities, water companies, business and industry. </w:t>
            </w:r>
          </w:p>
        </w:tc>
      </w:tr>
      <w:tr w:rsidR="00AC3A49" w:rsidTr="00AC3A49">
        <w:tc>
          <w:tcPr>
            <w:tcW w:w="6658" w:type="dxa"/>
          </w:tcPr>
          <w:p w:rsidR="00AC3A49" w:rsidRPr="0097472D" w:rsidRDefault="00AC3A49">
            <w:pPr>
              <w:rPr>
                <w:b/>
              </w:rPr>
            </w:pPr>
            <w:r>
              <w:t>Incorporate fundamental, strategic, and applied research and/or innovation, or take a nuanced approach to these distinctions</w:t>
            </w:r>
          </w:p>
        </w:tc>
        <w:tc>
          <w:tcPr>
            <w:tcW w:w="7290" w:type="dxa"/>
          </w:tcPr>
          <w:p w:rsidR="00AC3A49" w:rsidRDefault="00AC3A49">
            <w:r>
              <w:t xml:space="preserve">We are undertaking fundamental research which we can apply in a real-world context. </w:t>
            </w:r>
          </w:p>
        </w:tc>
      </w:tr>
      <w:tr w:rsidR="00AC3A49" w:rsidTr="00AC3A49">
        <w:tc>
          <w:tcPr>
            <w:tcW w:w="6658" w:type="dxa"/>
          </w:tcPr>
          <w:p w:rsidR="00AC3A49" w:rsidRPr="0097472D" w:rsidRDefault="00AC3A49">
            <w:pPr>
              <w:rPr>
                <w:b/>
              </w:rPr>
            </w:pPr>
            <w:r>
              <w:t>Explore creative and novel applications or experiments in urban issues such as the development of urban living labs, experiments in co-design, social innovation or participatory approaches, demonstrators or test bed communities</w:t>
            </w:r>
          </w:p>
        </w:tc>
        <w:tc>
          <w:tcPr>
            <w:tcW w:w="7290" w:type="dxa"/>
          </w:tcPr>
          <w:p w:rsidR="00AC3A49" w:rsidRDefault="00AC3A49">
            <w:r>
              <w:t xml:space="preserve">We have developed 4 ULLs across 3 continents to enable the investigation of the FEW nexus in different contexts including the urban poor. </w:t>
            </w:r>
          </w:p>
        </w:tc>
      </w:tr>
    </w:tbl>
    <w:p w:rsidR="0097472D" w:rsidRDefault="0097472D" w:rsidP="00AC3A49">
      <w:r>
        <w:tab/>
      </w:r>
      <w:r w:rsidR="00AC3A49">
        <w:t xml:space="preserve"> </w:t>
      </w:r>
    </w:p>
    <w:tbl>
      <w:tblPr>
        <w:tblW w:w="13500" w:type="dxa"/>
        <w:tblCellMar>
          <w:left w:w="0" w:type="dxa"/>
          <w:right w:w="0" w:type="dxa"/>
        </w:tblCellMar>
        <w:tblLook w:val="0600" w:firstRow="0" w:lastRow="0" w:firstColumn="0" w:lastColumn="0" w:noHBand="1" w:noVBand="1"/>
      </w:tblPr>
      <w:tblGrid>
        <w:gridCol w:w="460"/>
        <w:gridCol w:w="9169"/>
        <w:gridCol w:w="2231"/>
        <w:gridCol w:w="1640"/>
      </w:tblGrid>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EAEFF7"/>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b/>
                <w:bCs/>
                <w:color w:val="000000" w:themeColor="dark1"/>
                <w:kern w:val="24"/>
                <w:lang w:eastAsia="en-GB"/>
              </w:rPr>
              <w:lastRenderedPageBreak/>
              <w:t>No</w:t>
            </w:r>
          </w:p>
        </w:tc>
        <w:tc>
          <w:tcPr>
            <w:tcW w:w="9169" w:type="dxa"/>
            <w:tcBorders>
              <w:top w:val="single" w:sz="8" w:space="0" w:color="FFFFFF"/>
              <w:left w:val="single" w:sz="8" w:space="0" w:color="FFFFFF"/>
              <w:bottom w:val="single" w:sz="8" w:space="0" w:color="FFFFFF"/>
              <w:right w:val="single" w:sz="8" w:space="0" w:color="FFFFFF"/>
            </w:tcBorders>
            <w:shd w:val="clear" w:color="auto" w:fill="EAEFF7"/>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b/>
                <w:bCs/>
                <w:color w:val="000000" w:themeColor="dark1"/>
                <w:kern w:val="24"/>
                <w:lang w:eastAsia="en-GB"/>
              </w:rPr>
              <w:t>Milestone name</w:t>
            </w:r>
          </w:p>
        </w:tc>
        <w:tc>
          <w:tcPr>
            <w:tcW w:w="2231" w:type="dxa"/>
            <w:tcBorders>
              <w:top w:val="single" w:sz="8" w:space="0" w:color="FFFFFF"/>
              <w:left w:val="single" w:sz="8" w:space="0" w:color="FFFFFF"/>
              <w:bottom w:val="single" w:sz="8" w:space="0" w:color="FFFFFF"/>
              <w:right w:val="single" w:sz="8" w:space="0" w:color="FFFFFF"/>
            </w:tcBorders>
            <w:shd w:val="clear" w:color="auto" w:fill="EAEFF7"/>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b/>
                <w:bCs/>
                <w:color w:val="000000" w:themeColor="dark1"/>
                <w:kern w:val="24"/>
                <w:lang w:eastAsia="en-GB"/>
              </w:rPr>
              <w:t>Work package(s)</w:t>
            </w:r>
          </w:p>
        </w:tc>
        <w:tc>
          <w:tcPr>
            <w:tcW w:w="1640" w:type="dxa"/>
            <w:tcBorders>
              <w:top w:val="single" w:sz="8" w:space="0" w:color="FFFFFF"/>
              <w:left w:val="single" w:sz="8" w:space="0" w:color="FFFFFF"/>
              <w:bottom w:val="single" w:sz="8" w:space="0" w:color="FFFFFF"/>
              <w:right w:val="single" w:sz="8" w:space="0" w:color="FFFFFF"/>
            </w:tcBorders>
            <w:shd w:val="clear" w:color="auto" w:fill="EAEFF7"/>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b/>
                <w:bCs/>
                <w:color w:val="000000" w:themeColor="dark1"/>
                <w:kern w:val="24"/>
                <w:lang w:eastAsia="en-GB"/>
              </w:rPr>
              <w:t>Date</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1</w:t>
            </w:r>
          </w:p>
        </w:tc>
        <w:tc>
          <w:tcPr>
            <w:tcW w:w="9169"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All ULLs established and kick-off meetings held and first international meeting</w:t>
            </w:r>
          </w:p>
        </w:tc>
        <w:tc>
          <w:tcPr>
            <w:tcW w:w="2231"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All</w:t>
            </w:r>
          </w:p>
        </w:tc>
        <w:tc>
          <w:tcPr>
            <w:tcW w:w="1640"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End Nov 2018</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F8CBAD"/>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2</w:t>
            </w:r>
          </w:p>
        </w:tc>
        <w:tc>
          <w:tcPr>
            <w:tcW w:w="9169" w:type="dxa"/>
            <w:tcBorders>
              <w:top w:val="single" w:sz="8" w:space="0" w:color="FFFFFF"/>
              <w:left w:val="single" w:sz="8" w:space="0" w:color="FFFFFF"/>
              <w:bottom w:val="single" w:sz="8" w:space="0" w:color="FFFFFF"/>
              <w:right w:val="single" w:sz="8" w:space="0" w:color="FFFFFF"/>
            </w:tcBorders>
            <w:shd w:val="clear" w:color="auto" w:fill="F8CBAD"/>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Impact plan and all other project documentation ready and agreed*</w:t>
            </w:r>
          </w:p>
        </w:tc>
        <w:tc>
          <w:tcPr>
            <w:tcW w:w="2231" w:type="dxa"/>
            <w:tcBorders>
              <w:top w:val="single" w:sz="8" w:space="0" w:color="FFFFFF"/>
              <w:left w:val="single" w:sz="8" w:space="0" w:color="FFFFFF"/>
              <w:bottom w:val="single" w:sz="8" w:space="0" w:color="FFFFFF"/>
              <w:right w:val="single" w:sz="8" w:space="0" w:color="FFFFFF"/>
            </w:tcBorders>
            <w:shd w:val="clear" w:color="auto" w:fill="F8CBAD"/>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WP1, WP2, WP5</w:t>
            </w:r>
          </w:p>
        </w:tc>
        <w:tc>
          <w:tcPr>
            <w:tcW w:w="1640" w:type="dxa"/>
            <w:tcBorders>
              <w:top w:val="single" w:sz="8" w:space="0" w:color="FFFFFF"/>
              <w:left w:val="single" w:sz="8" w:space="0" w:color="FFFFFF"/>
              <w:bottom w:val="single" w:sz="8" w:space="0" w:color="FFFFFF"/>
              <w:right w:val="single" w:sz="8" w:space="0" w:color="FFFFFF"/>
            </w:tcBorders>
            <w:shd w:val="clear" w:color="auto" w:fill="F8CBAD"/>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kern w:val="24"/>
                <w:lang w:eastAsia="en-GB"/>
              </w:rPr>
              <w:t xml:space="preserve">Working doc </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3</w:t>
            </w:r>
          </w:p>
        </w:tc>
        <w:tc>
          <w:tcPr>
            <w:tcW w:w="9169"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Waste FEW ULL global website and resource repository ready and running</w:t>
            </w:r>
          </w:p>
        </w:tc>
        <w:tc>
          <w:tcPr>
            <w:tcW w:w="2231"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WP1, WP7</w:t>
            </w:r>
          </w:p>
        </w:tc>
        <w:tc>
          <w:tcPr>
            <w:tcW w:w="1640"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End May 2018</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4</w:t>
            </w:r>
          </w:p>
        </w:tc>
        <w:tc>
          <w:tcPr>
            <w:tcW w:w="9169"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1st annual progress report ready**</w:t>
            </w:r>
          </w:p>
        </w:tc>
        <w:tc>
          <w:tcPr>
            <w:tcW w:w="2231"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All</w:t>
            </w:r>
          </w:p>
        </w:tc>
        <w:tc>
          <w:tcPr>
            <w:tcW w:w="1640" w:type="dxa"/>
            <w:tcBorders>
              <w:top w:val="single" w:sz="8" w:space="0" w:color="FFFFFF"/>
              <w:left w:val="single" w:sz="8" w:space="0" w:color="FFFFFF"/>
              <w:bottom w:val="single" w:sz="8" w:space="0" w:color="FFFFFF"/>
              <w:right w:val="single" w:sz="8" w:space="0" w:color="FFFFFF"/>
            </w:tcBorders>
            <w:shd w:val="clear" w:color="auto" w:fill="A9D18E"/>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End May 2019</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C00000"/>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5</w:t>
            </w:r>
          </w:p>
        </w:tc>
        <w:tc>
          <w:tcPr>
            <w:tcW w:w="9169" w:type="dxa"/>
            <w:tcBorders>
              <w:top w:val="single" w:sz="8" w:space="0" w:color="FFFFFF"/>
              <w:left w:val="single" w:sz="8" w:space="0" w:color="FFFFFF"/>
              <w:bottom w:val="single" w:sz="8" w:space="0" w:color="FFFFFF"/>
              <w:right w:val="single" w:sz="8" w:space="0" w:color="FFFFFF"/>
            </w:tcBorders>
            <w:shd w:val="clear" w:color="auto" w:fill="C00000"/>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Survey with key performance indicators (KPIs) for project conducted***</w:t>
            </w:r>
          </w:p>
        </w:tc>
        <w:tc>
          <w:tcPr>
            <w:tcW w:w="2231" w:type="dxa"/>
            <w:tcBorders>
              <w:top w:val="single" w:sz="8" w:space="0" w:color="FFFFFF"/>
              <w:left w:val="single" w:sz="8" w:space="0" w:color="FFFFFF"/>
              <w:bottom w:val="single" w:sz="8" w:space="0" w:color="FFFFFF"/>
              <w:right w:val="single" w:sz="8" w:space="0" w:color="FFFFFF"/>
            </w:tcBorders>
            <w:shd w:val="clear" w:color="auto" w:fill="C00000"/>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WP1</w:t>
            </w:r>
          </w:p>
        </w:tc>
        <w:tc>
          <w:tcPr>
            <w:tcW w:w="1640" w:type="dxa"/>
            <w:tcBorders>
              <w:top w:val="single" w:sz="8" w:space="0" w:color="FFFFFF"/>
              <w:left w:val="single" w:sz="8" w:space="0" w:color="FFFFFF"/>
              <w:bottom w:val="single" w:sz="8" w:space="0" w:color="FFFFFF"/>
              <w:right w:val="single" w:sz="8" w:space="0" w:color="FFFFFF"/>
            </w:tcBorders>
            <w:shd w:val="clear" w:color="auto" w:fill="C00000"/>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Nov 2019</w:t>
            </w:r>
            <w:r w:rsidR="00243BCC" w:rsidRPr="00C5624F">
              <w:rPr>
                <w:rFonts w:eastAsia="Times New Roman" w:cstheme="minorHAnsi"/>
                <w:color w:val="000000" w:themeColor="dark1"/>
                <w:kern w:val="24"/>
                <w:lang w:eastAsia="en-GB"/>
              </w:rPr>
              <w:t>; March 2021</w:t>
            </w:r>
          </w:p>
        </w:tc>
      </w:tr>
      <w:tr w:rsidR="004D60A1" w:rsidRPr="004D60A1" w:rsidTr="00A22944">
        <w:trPr>
          <w:trHeight w:val="829"/>
        </w:trPr>
        <w:tc>
          <w:tcPr>
            <w:tcW w:w="46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6</w:t>
            </w:r>
          </w:p>
        </w:tc>
        <w:tc>
          <w:tcPr>
            <w:tcW w:w="9169"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Draft reports on non-market environmental and health impacts of ULL activities  and draft policy briefing ready</w:t>
            </w:r>
          </w:p>
        </w:tc>
        <w:tc>
          <w:tcPr>
            <w:tcW w:w="2231"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WP3, WP4, WP5, WP6</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End May 2020</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7</w:t>
            </w:r>
          </w:p>
        </w:tc>
        <w:tc>
          <w:tcPr>
            <w:tcW w:w="9169"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2nd annual progress report ready</w:t>
            </w:r>
          </w:p>
        </w:tc>
        <w:tc>
          <w:tcPr>
            <w:tcW w:w="2231"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All</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End May 2020</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8</w:t>
            </w:r>
          </w:p>
        </w:tc>
        <w:tc>
          <w:tcPr>
            <w:tcW w:w="9169"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Final ULL analysis and report</w:t>
            </w:r>
          </w:p>
        </w:tc>
        <w:tc>
          <w:tcPr>
            <w:tcW w:w="2231"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WP2, WP3</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End Feb 2021</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9</w:t>
            </w:r>
          </w:p>
        </w:tc>
        <w:tc>
          <w:tcPr>
            <w:tcW w:w="9169"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Final inter</w:t>
            </w:r>
            <w:r w:rsidR="00BF519F" w:rsidRPr="00C5624F">
              <w:rPr>
                <w:rFonts w:eastAsia="Times New Roman" w:cstheme="minorHAnsi"/>
                <w:color w:val="000000" w:themeColor="dark1"/>
                <w:kern w:val="24"/>
                <w:lang w:eastAsia="en-GB"/>
              </w:rPr>
              <w:t>national meeting – South Africa, September/ October 2020</w:t>
            </w:r>
          </w:p>
        </w:tc>
        <w:tc>
          <w:tcPr>
            <w:tcW w:w="2231"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All</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End Feb 2021</w:t>
            </w:r>
          </w:p>
        </w:tc>
      </w:tr>
      <w:tr w:rsidR="004D60A1" w:rsidRPr="004D60A1" w:rsidTr="00A22944">
        <w:trPr>
          <w:trHeight w:val="424"/>
        </w:trPr>
        <w:tc>
          <w:tcPr>
            <w:tcW w:w="46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10</w:t>
            </w:r>
          </w:p>
        </w:tc>
        <w:tc>
          <w:tcPr>
            <w:tcW w:w="9169"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textAlignment w:val="center"/>
              <w:rPr>
                <w:rFonts w:eastAsia="Times New Roman" w:cstheme="minorHAnsi"/>
                <w:lang w:eastAsia="en-GB"/>
              </w:rPr>
            </w:pPr>
            <w:r w:rsidRPr="004D60A1">
              <w:rPr>
                <w:rFonts w:eastAsia="Times New Roman" w:cstheme="minorHAnsi"/>
                <w:color w:val="000000" w:themeColor="dark1"/>
                <w:kern w:val="24"/>
                <w:lang w:eastAsia="en-GB"/>
              </w:rPr>
              <w:t>Final Expenditure Statement****</w:t>
            </w:r>
          </w:p>
        </w:tc>
        <w:tc>
          <w:tcPr>
            <w:tcW w:w="2231"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WP1</w:t>
            </w:r>
          </w:p>
        </w:tc>
        <w:tc>
          <w:tcPr>
            <w:tcW w:w="1640" w:type="dxa"/>
            <w:tcBorders>
              <w:top w:val="single" w:sz="8" w:space="0" w:color="FFFFFF"/>
              <w:left w:val="single" w:sz="8" w:space="0" w:color="FFFFFF"/>
              <w:bottom w:val="single" w:sz="8" w:space="0" w:color="FFFFFF"/>
              <w:right w:val="single" w:sz="8" w:space="0" w:color="FFFFFF"/>
            </w:tcBorders>
            <w:shd w:val="clear" w:color="auto" w:fill="E7E6E6"/>
            <w:tcMar>
              <w:top w:w="13" w:type="dxa"/>
              <w:left w:w="13" w:type="dxa"/>
              <w:bottom w:w="0" w:type="dxa"/>
              <w:right w:w="13" w:type="dxa"/>
            </w:tcMar>
            <w:vAlign w:val="center"/>
            <w:hideMark/>
          </w:tcPr>
          <w:p w:rsidR="004D60A1" w:rsidRPr="004D60A1" w:rsidRDefault="004D60A1" w:rsidP="004D60A1">
            <w:pPr>
              <w:spacing w:after="0" w:line="240" w:lineRule="auto"/>
              <w:jc w:val="center"/>
              <w:textAlignment w:val="center"/>
              <w:rPr>
                <w:rFonts w:eastAsia="Times New Roman" w:cstheme="minorHAnsi"/>
                <w:lang w:eastAsia="en-GB"/>
              </w:rPr>
            </w:pPr>
            <w:r w:rsidRPr="004D60A1">
              <w:rPr>
                <w:rFonts w:eastAsia="Times New Roman" w:cstheme="minorHAnsi"/>
                <w:color w:val="000000" w:themeColor="dark1"/>
                <w:kern w:val="24"/>
                <w:lang w:eastAsia="en-GB"/>
              </w:rPr>
              <w:t>End March 2021</w:t>
            </w:r>
          </w:p>
        </w:tc>
      </w:tr>
    </w:tbl>
    <w:p w:rsidR="004D60A1" w:rsidRDefault="004D60A1"/>
    <w:p w:rsidR="00243BCC" w:rsidRDefault="00243BCC" w:rsidP="00243BCC">
      <w:r w:rsidRPr="00243BCC">
        <w:t>* Working document</w:t>
      </w:r>
      <w:proofErr w:type="gramStart"/>
      <w:r w:rsidRPr="00243BCC">
        <w:t>;  *</w:t>
      </w:r>
      <w:proofErr w:type="gramEnd"/>
      <w:r w:rsidRPr="00243BCC">
        <w:t xml:space="preserve">* </w:t>
      </w:r>
      <w:proofErr w:type="spellStart"/>
      <w:r w:rsidRPr="00243BCC">
        <w:t>ResearchFish</w:t>
      </w:r>
      <w:proofErr w:type="spellEnd"/>
      <w:r w:rsidRPr="00243BCC">
        <w:t xml:space="preserve"> and Belmont reports;  *** Report based on Rotterdam m</w:t>
      </w:r>
      <w:r w:rsidR="00A22944">
        <w:t xml:space="preserve">eeting;  </w:t>
      </w:r>
      <w:r w:rsidRPr="00243BCC">
        <w:t>**** all financial reporting up to date (UK)</w:t>
      </w:r>
    </w:p>
    <w:p w:rsidR="00A22944" w:rsidRDefault="00A22944" w:rsidP="00243BCC">
      <w:r>
        <w:t xml:space="preserve">Milestones in green are complete, </w:t>
      </w:r>
      <w:proofErr w:type="gramStart"/>
      <w:r>
        <w:t>those in amber have been considered by the consortium in depth</w:t>
      </w:r>
      <w:proofErr w:type="gramEnd"/>
      <w:r>
        <w:t xml:space="preserve"> and the date agreed to be flexible with the milestone completed at the end of the project. Milestone 5 </w:t>
      </w:r>
      <w:proofErr w:type="gramStart"/>
      <w:r>
        <w:t>is represented</w:t>
      </w:r>
      <w:proofErr w:type="gramEnd"/>
      <w:r>
        <w:t xml:space="preserve"> by this document, with a second to be produced at the end of the project. Milestones in grey </w:t>
      </w:r>
      <w:proofErr w:type="gramStart"/>
      <w:r>
        <w:t>will be addressed</w:t>
      </w:r>
      <w:proofErr w:type="gramEnd"/>
      <w:r>
        <w:t xml:space="preserve"> as the project progresses, the dates of delivery were agreed by the consortium at the Rotterdam meeting, although it was also agreed that flexibility is key to delivery. Regarding milestone 9, it was agreed that the consortium would meet in South Africa at the Water Hub, and that we would be able to meet with </w:t>
      </w:r>
      <w:proofErr w:type="gramStart"/>
      <w:r>
        <w:t>stakeholders which</w:t>
      </w:r>
      <w:proofErr w:type="gramEnd"/>
      <w:r>
        <w:t xml:space="preserve"> would form part of milestone 8. </w:t>
      </w:r>
    </w:p>
    <w:p w:rsidR="00243BCC" w:rsidRDefault="00243BCC">
      <w:r>
        <w:br w:type="page"/>
      </w:r>
    </w:p>
    <w:tbl>
      <w:tblPr>
        <w:tblW w:w="12860" w:type="dxa"/>
        <w:tblCellMar>
          <w:left w:w="0" w:type="dxa"/>
          <w:right w:w="0" w:type="dxa"/>
        </w:tblCellMar>
        <w:tblLook w:val="0600" w:firstRow="0" w:lastRow="0" w:firstColumn="0" w:lastColumn="0" w:noHBand="1" w:noVBand="1"/>
      </w:tblPr>
      <w:tblGrid>
        <w:gridCol w:w="360"/>
        <w:gridCol w:w="9900"/>
        <w:gridCol w:w="2600"/>
      </w:tblGrid>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b/>
                <w:sz w:val="24"/>
                <w:szCs w:val="24"/>
                <w:lang w:eastAsia="en-GB"/>
              </w:rPr>
            </w:pPr>
            <w:r w:rsidRPr="00243BCC">
              <w:rPr>
                <w:rFonts w:ascii="Calibri" w:eastAsia="Times New Roman" w:hAnsi="Calibri" w:cs="Calibri"/>
                <w:b/>
                <w:color w:val="000000" w:themeColor="dark1"/>
                <w:kern w:val="24"/>
                <w:sz w:val="24"/>
                <w:szCs w:val="24"/>
                <w:lang w:eastAsia="en-GB"/>
              </w:rPr>
              <w:lastRenderedPageBreak/>
              <w:t>No</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b/>
                <w:sz w:val="24"/>
                <w:szCs w:val="24"/>
                <w:lang w:eastAsia="en-GB"/>
              </w:rPr>
            </w:pPr>
            <w:r w:rsidRPr="00243BCC">
              <w:rPr>
                <w:rFonts w:ascii="Calibri" w:eastAsia="Times New Roman" w:hAnsi="Calibri" w:cs="Calibri"/>
                <w:b/>
                <w:color w:val="000000" w:themeColor="dark1"/>
                <w:kern w:val="24"/>
                <w:sz w:val="24"/>
                <w:szCs w:val="24"/>
                <w:lang w:eastAsia="en-GB"/>
              </w:rPr>
              <w:t>Deliverables</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b/>
                <w:sz w:val="24"/>
                <w:szCs w:val="24"/>
                <w:lang w:eastAsia="en-GB"/>
              </w:rPr>
            </w:pPr>
            <w:r w:rsidRPr="00243BCC">
              <w:rPr>
                <w:rFonts w:ascii="Calibri" w:eastAsia="Times New Roman" w:hAnsi="Calibri" w:cs="Calibri"/>
                <w:b/>
                <w:color w:val="000000" w:themeColor="dark1"/>
                <w:kern w:val="24"/>
                <w:sz w:val="24"/>
                <w:szCs w:val="24"/>
                <w:lang w:eastAsia="en-GB"/>
              </w:rPr>
              <w:t>Deadline</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4</w:t>
            </w:r>
          </w:p>
        </w:tc>
        <w:tc>
          <w:tcPr>
            <w:tcW w:w="990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ULL kick-off meeting documentation (ULL workshop 1)</w:t>
            </w:r>
          </w:p>
        </w:tc>
        <w:tc>
          <w:tcPr>
            <w:tcW w:w="260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November 2018</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8</w:t>
            </w:r>
          </w:p>
        </w:tc>
        <w:tc>
          <w:tcPr>
            <w:tcW w:w="99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One methodology paper per ULL drafted (on stakeholder engagement and systems mapping)</w:t>
            </w:r>
          </w:p>
        </w:tc>
        <w:tc>
          <w:tcPr>
            <w:tcW w:w="26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eastAsia="Times New Roman" w:hAnsi="Calibri" w:cs="Calibri"/>
                <w:color w:val="000000" w:themeColor="text1"/>
                <w:kern w:val="24"/>
                <w:sz w:val="24"/>
                <w:szCs w:val="24"/>
                <w:lang w:eastAsia="en-GB"/>
              </w:rPr>
              <w:t>In-hand</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9</w:t>
            </w:r>
          </w:p>
        </w:tc>
        <w:tc>
          <w:tcPr>
            <w:tcW w:w="990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Materials for workshop ready</w:t>
            </w:r>
          </w:p>
        </w:tc>
        <w:tc>
          <w:tcPr>
            <w:tcW w:w="260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November 2018</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15</w:t>
            </w:r>
          </w:p>
        </w:tc>
        <w:tc>
          <w:tcPr>
            <w:tcW w:w="99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Impact Plan (</w:t>
            </w:r>
            <w:proofErr w:type="spellStart"/>
            <w:r w:rsidRPr="00243BCC">
              <w:rPr>
                <w:rFonts w:ascii="Calibri" w:eastAsia="Times New Roman" w:hAnsi="Calibri" w:cs="Calibri"/>
                <w:color w:val="000000" w:themeColor="dark1"/>
                <w:kern w:val="24"/>
                <w:sz w:val="24"/>
                <w:szCs w:val="24"/>
                <w:lang w:eastAsia="en-GB"/>
              </w:rPr>
              <w:t>inc.</w:t>
            </w:r>
            <w:proofErr w:type="spellEnd"/>
            <w:r w:rsidRPr="00243BCC">
              <w:rPr>
                <w:rFonts w:ascii="Calibri" w:eastAsia="Times New Roman" w:hAnsi="Calibri" w:cs="Calibri"/>
                <w:color w:val="000000" w:themeColor="dark1"/>
                <w:kern w:val="24"/>
                <w:sz w:val="24"/>
                <w:szCs w:val="24"/>
                <w:lang w:eastAsia="en-GB"/>
              </w:rPr>
              <w:t xml:space="preserve"> stakeholder analysis and tracking document, policy briefings)</w:t>
            </w:r>
          </w:p>
        </w:tc>
        <w:tc>
          <w:tcPr>
            <w:tcW w:w="26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text1"/>
                <w:kern w:val="24"/>
                <w:sz w:val="24"/>
                <w:szCs w:val="24"/>
                <w:lang w:eastAsia="en-GB"/>
              </w:rPr>
              <w:t>Working document</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ED7D31" w:themeColor="accent2"/>
                <w:kern w:val="24"/>
                <w:sz w:val="24"/>
                <w:szCs w:val="24"/>
                <w:lang w:eastAsia="en-GB"/>
              </w:rPr>
              <w:t>10</w:t>
            </w:r>
          </w:p>
        </w:tc>
        <w:tc>
          <w:tcPr>
            <w:tcW w:w="990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ED7D31" w:themeColor="accent2"/>
                <w:kern w:val="24"/>
                <w:sz w:val="24"/>
                <w:szCs w:val="24"/>
                <w:lang w:eastAsia="en-GB"/>
              </w:rPr>
              <w:t>Post workshop formal mapping</w:t>
            </w:r>
            <w:r w:rsidRPr="005750DC">
              <w:rPr>
                <w:rFonts w:ascii="Calibri" w:eastAsia="Times New Roman" w:hAnsi="Calibri" w:cs="Calibri"/>
                <w:color w:val="ED7D31" w:themeColor="accent2"/>
                <w:kern w:val="24"/>
                <w:sz w:val="24"/>
                <w:szCs w:val="24"/>
                <w:lang w:eastAsia="en-GB"/>
              </w:rPr>
              <w:t>, see D4, D5, D6</w:t>
            </w:r>
          </w:p>
        </w:tc>
        <w:tc>
          <w:tcPr>
            <w:tcW w:w="260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eastAsia="Times New Roman" w:cstheme="minorHAnsi"/>
                <w:sz w:val="24"/>
                <w:szCs w:val="24"/>
                <w:lang w:eastAsia="en-GB"/>
              </w:rPr>
            </w:pPr>
            <w:r w:rsidRPr="005750DC">
              <w:rPr>
                <w:rFonts w:eastAsia="Times New Roman" w:cstheme="minorHAnsi"/>
                <w:color w:val="538135" w:themeColor="accent6" w:themeShade="BF"/>
                <w:sz w:val="24"/>
                <w:szCs w:val="24"/>
                <w:lang w:eastAsia="en-GB"/>
              </w:rPr>
              <w:t xml:space="preserve">Nov 18, </w:t>
            </w:r>
            <w:r w:rsidRPr="005750DC">
              <w:rPr>
                <w:rFonts w:eastAsia="Times New Roman" w:cstheme="minorHAnsi"/>
                <w:color w:val="C45911" w:themeColor="accent2" w:themeShade="BF"/>
                <w:sz w:val="24"/>
                <w:szCs w:val="24"/>
                <w:lang w:eastAsia="en-GB"/>
              </w:rPr>
              <w:t>May 20</w:t>
            </w:r>
            <w:r w:rsidRPr="005750DC">
              <w:rPr>
                <w:rFonts w:eastAsia="Times New Roman" w:cstheme="minorHAnsi"/>
                <w:sz w:val="24"/>
                <w:szCs w:val="24"/>
                <w:lang w:eastAsia="en-GB"/>
              </w:rPr>
              <w:t>, Feb 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22</w:t>
            </w:r>
          </w:p>
        </w:tc>
        <w:tc>
          <w:tcPr>
            <w:tcW w:w="990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Waste FEW ULL global website and resource repository</w:t>
            </w:r>
          </w:p>
        </w:tc>
        <w:tc>
          <w:tcPr>
            <w:tcW w:w="2600" w:type="dxa"/>
            <w:tcBorders>
              <w:top w:val="single" w:sz="8" w:space="0" w:color="FFFFFF"/>
              <w:left w:val="single" w:sz="8" w:space="0" w:color="FFFFFF"/>
              <w:bottom w:val="single" w:sz="8" w:space="0" w:color="FFFFFF"/>
              <w:right w:val="single" w:sz="8" w:space="0" w:color="FFFFFF"/>
            </w:tcBorders>
            <w:shd w:val="clear" w:color="auto" w:fill="C5E0B4"/>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May 2019</w:t>
            </w:r>
          </w:p>
        </w:tc>
      </w:tr>
      <w:tr w:rsidR="00243BCC" w:rsidRPr="00243BCC" w:rsidTr="00243BCC">
        <w:trPr>
          <w:trHeight w:val="369"/>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12</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Working report on potential national costs and benefits due to sectoral interactions and market responses induced by ULL activities</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May 2019?</w:t>
            </w:r>
          </w:p>
        </w:tc>
      </w:tr>
      <w:tr w:rsidR="00243BCC" w:rsidRPr="00243BCC" w:rsidTr="00243BCC">
        <w:trPr>
          <w:trHeight w:val="247"/>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both"/>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 xml:space="preserve">Annual progress report and </w:t>
            </w:r>
            <w:proofErr w:type="spellStart"/>
            <w:r w:rsidRPr="00243BCC">
              <w:rPr>
                <w:rFonts w:ascii="Calibri" w:eastAsia="Times New Roman" w:hAnsi="Calibri" w:cs="Calibri"/>
                <w:color w:val="000000" w:themeColor="dark1"/>
                <w:kern w:val="24"/>
                <w:sz w:val="24"/>
                <w:szCs w:val="24"/>
                <w:lang w:eastAsia="en-GB"/>
              </w:rPr>
              <w:t>ResearchFish</w:t>
            </w:r>
            <w:proofErr w:type="spellEnd"/>
            <w:r w:rsidRPr="00243BCC">
              <w:rPr>
                <w:rFonts w:ascii="Calibri" w:eastAsia="Times New Roman" w:hAnsi="Calibri" w:cs="Calibri"/>
                <w:color w:val="000000" w:themeColor="dark1"/>
                <w:kern w:val="24"/>
                <w:sz w:val="24"/>
                <w:szCs w:val="24"/>
                <w:lang w:eastAsia="en-GB"/>
              </w:rPr>
              <w:t xml:space="preserve"> update</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538135" w:themeColor="accent6" w:themeShade="BF"/>
                <w:kern w:val="24"/>
                <w:sz w:val="24"/>
                <w:szCs w:val="24"/>
                <w:lang w:eastAsia="en-GB"/>
              </w:rPr>
              <w:t>End May 2019</w:t>
            </w:r>
            <w:r w:rsidRPr="00243BCC">
              <w:rPr>
                <w:rFonts w:ascii="Calibri" w:eastAsia="Times New Roman" w:hAnsi="Calibri" w:cs="Calibri"/>
                <w:color w:val="000000" w:themeColor="dark1"/>
                <w:kern w:val="24"/>
                <w:sz w:val="24"/>
                <w:szCs w:val="24"/>
                <w:lang w:eastAsia="en-GB"/>
              </w:rPr>
              <w:t>, 2020, March 2021</w:t>
            </w:r>
          </w:p>
        </w:tc>
      </w:tr>
      <w:tr w:rsidR="00243BCC" w:rsidRPr="00243BCC" w:rsidTr="00243BCC">
        <w:trPr>
          <w:trHeight w:val="343"/>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color w:val="538135" w:themeColor="accent6" w:themeShade="BF"/>
                <w:sz w:val="24"/>
                <w:szCs w:val="24"/>
                <w:lang w:eastAsia="en-GB"/>
              </w:rPr>
            </w:pPr>
            <w:r w:rsidRPr="00243BCC">
              <w:rPr>
                <w:rFonts w:ascii="Calibri" w:eastAsia="Times New Roman" w:hAnsi="Calibri" w:cs="Calibri"/>
                <w:color w:val="538135" w:themeColor="accent6" w:themeShade="BF"/>
                <w:kern w:val="24"/>
                <w:sz w:val="24"/>
                <w:szCs w:val="24"/>
                <w:lang w:eastAsia="en-GB"/>
              </w:rPr>
              <w:t>2</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color w:val="538135" w:themeColor="accent6" w:themeShade="BF"/>
                <w:sz w:val="24"/>
                <w:szCs w:val="24"/>
                <w:lang w:eastAsia="en-GB"/>
              </w:rPr>
            </w:pPr>
            <w:r w:rsidRPr="00243BCC">
              <w:rPr>
                <w:rFonts w:ascii="Calibri" w:eastAsia="Times New Roman" w:hAnsi="Calibri" w:cs="Calibri"/>
                <w:color w:val="538135" w:themeColor="accent6" w:themeShade="BF"/>
                <w:kern w:val="24"/>
                <w:sz w:val="24"/>
                <w:szCs w:val="24"/>
                <w:lang w:eastAsia="en-GB"/>
              </w:rPr>
              <w:t>Detailed survey with key performance indicators for project progress and their contribution to the overall aim of the call</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538135" w:themeColor="accent6" w:themeShade="BF"/>
                <w:kern w:val="24"/>
                <w:sz w:val="24"/>
                <w:szCs w:val="24"/>
                <w:lang w:eastAsia="en-GB"/>
              </w:rPr>
              <w:t xml:space="preserve">End Nov 2019 </w:t>
            </w:r>
            <w:r w:rsidR="00336DF6">
              <w:rPr>
                <w:rFonts w:ascii="Calibri" w:eastAsia="Times New Roman" w:hAnsi="Calibri" w:cs="Calibri"/>
                <w:color w:val="000000" w:themeColor="dark1"/>
                <w:kern w:val="24"/>
                <w:sz w:val="24"/>
                <w:szCs w:val="24"/>
                <w:lang w:eastAsia="en-GB"/>
              </w:rPr>
              <w:t>and e</w:t>
            </w:r>
            <w:r w:rsidRPr="00243BCC">
              <w:rPr>
                <w:rFonts w:ascii="Calibri" w:eastAsia="Times New Roman" w:hAnsi="Calibri" w:cs="Calibri"/>
                <w:color w:val="000000" w:themeColor="dark1"/>
                <w:kern w:val="24"/>
                <w:sz w:val="24"/>
                <w:szCs w:val="24"/>
                <w:lang w:eastAsia="en-GB"/>
              </w:rPr>
              <w:t>nd March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13</w:t>
            </w:r>
          </w:p>
        </w:tc>
        <w:tc>
          <w:tcPr>
            <w:tcW w:w="99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Report on non-market environmental and health impacts of ULL activities</w:t>
            </w:r>
          </w:p>
        </w:tc>
        <w:tc>
          <w:tcPr>
            <w:tcW w:w="26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May 2020</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23</w:t>
            </w:r>
          </w:p>
        </w:tc>
        <w:tc>
          <w:tcPr>
            <w:tcW w:w="99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Draft policy briefings on key aspects of the project: e.g. methodologies, findings</w:t>
            </w:r>
          </w:p>
        </w:tc>
        <w:tc>
          <w:tcPr>
            <w:tcW w:w="26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May 2020</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5</w:t>
            </w:r>
          </w:p>
        </w:tc>
        <w:tc>
          <w:tcPr>
            <w:tcW w:w="99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ULL workshop 2 documentation</w:t>
            </w:r>
          </w:p>
        </w:tc>
        <w:tc>
          <w:tcPr>
            <w:tcW w:w="2600" w:type="dxa"/>
            <w:tcBorders>
              <w:top w:val="single" w:sz="8" w:space="0" w:color="FFFFFF"/>
              <w:left w:val="single" w:sz="8" w:space="0" w:color="FFFFFF"/>
              <w:bottom w:val="single" w:sz="8" w:space="0" w:color="FFFFFF"/>
              <w:right w:val="single" w:sz="8" w:space="0" w:color="FFFFFF"/>
            </w:tcBorders>
            <w:shd w:val="clear" w:color="auto" w:fill="FFC000"/>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May 2020</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6</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ULL workshop 3 documentation</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7</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ULL analysis and report</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11</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Systems Mapping Report</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14</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Final version of D12 and D13</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16</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Impact Report</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17</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Summary of approach with “tool box” of models</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18</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ULL presentations done (together with task 2.3)</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19</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Final Report academic paper</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20</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Final Report stakeholders report of website source with knowledge brokerage “tool-box”</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21</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Education materials for public outreach</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24</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Conference presentations</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Feb 2021</w:t>
            </w:r>
          </w:p>
        </w:tc>
      </w:tr>
      <w:tr w:rsidR="00243BCC" w:rsidRPr="00243BCC" w:rsidTr="00243BCC">
        <w:trPr>
          <w:trHeight w:val="242"/>
        </w:trPr>
        <w:tc>
          <w:tcPr>
            <w:tcW w:w="36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3</w:t>
            </w:r>
          </w:p>
        </w:tc>
        <w:tc>
          <w:tcPr>
            <w:tcW w:w="99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Final Expenditure Statement</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10" w:type="dxa"/>
              <w:left w:w="10" w:type="dxa"/>
              <w:bottom w:w="0" w:type="dxa"/>
              <w:right w:w="10" w:type="dxa"/>
            </w:tcMar>
            <w:vAlign w:val="center"/>
            <w:hideMark/>
          </w:tcPr>
          <w:p w:rsidR="00243BCC" w:rsidRPr="00243BCC" w:rsidRDefault="00243BCC" w:rsidP="00243BCC">
            <w:pPr>
              <w:spacing w:after="0" w:line="240" w:lineRule="auto"/>
              <w:jc w:val="center"/>
              <w:textAlignment w:val="center"/>
              <w:rPr>
                <w:rFonts w:ascii="Arial" w:eastAsia="Times New Roman" w:hAnsi="Arial" w:cs="Arial"/>
                <w:sz w:val="24"/>
                <w:szCs w:val="24"/>
                <w:lang w:eastAsia="en-GB"/>
              </w:rPr>
            </w:pPr>
            <w:r w:rsidRPr="00243BCC">
              <w:rPr>
                <w:rFonts w:ascii="Calibri" w:eastAsia="Times New Roman" w:hAnsi="Calibri" w:cs="Calibri"/>
                <w:color w:val="000000" w:themeColor="dark1"/>
                <w:kern w:val="24"/>
                <w:sz w:val="24"/>
                <w:szCs w:val="24"/>
                <w:lang w:eastAsia="en-GB"/>
              </w:rPr>
              <w:t>End March 2021</w:t>
            </w:r>
          </w:p>
        </w:tc>
      </w:tr>
    </w:tbl>
    <w:p w:rsidR="00BC2F18" w:rsidRPr="00BC2F18" w:rsidRDefault="00BC2F18">
      <w:r w:rsidRPr="00BC2F18">
        <w:lastRenderedPageBreak/>
        <w:t xml:space="preserve">In terms of deliverables, </w:t>
      </w:r>
      <w:r>
        <w:t xml:space="preserve">the Table shows that these are well in-hand, with those completed in green, working documents in amber, and those in grey being addressed as the project progresses. At the Rotterdam </w:t>
      </w:r>
      <w:r w:rsidR="00AB674C">
        <w:t>meeting,</w:t>
      </w:r>
      <w:r>
        <w:t xml:space="preserve"> we discussed the delivery of 13, 23 and 5, agreed submission dates and </w:t>
      </w:r>
      <w:r w:rsidR="00AB674C">
        <w:t xml:space="preserve">taking these deliverables forward through each of the ULLs and WPs. </w:t>
      </w:r>
    </w:p>
    <w:p w:rsidR="00D15DB9" w:rsidRPr="00C5624F" w:rsidRDefault="00D15DB9">
      <w:pPr>
        <w:rPr>
          <w:b/>
        </w:rPr>
      </w:pPr>
      <w:r w:rsidRPr="00C5624F">
        <w:rPr>
          <w:b/>
        </w:rPr>
        <w:t>Appendix</w:t>
      </w:r>
    </w:p>
    <w:p w:rsidR="00D15DB9" w:rsidRPr="00C5624F" w:rsidRDefault="00D15DB9">
      <w:r w:rsidRPr="00C5624F">
        <w:t>Programme of Rotterdam International Meeting</w:t>
      </w:r>
    </w:p>
    <w:p w:rsidR="00D15DB9" w:rsidRPr="00C5624F" w:rsidRDefault="00D15DB9" w:rsidP="00D15DB9">
      <w:pPr>
        <w:rPr>
          <w:b/>
        </w:rPr>
      </w:pPr>
      <w:proofErr w:type="spellStart"/>
      <w:r w:rsidRPr="00C5624F">
        <w:rPr>
          <w:b/>
        </w:rPr>
        <w:t>WasteFEW</w:t>
      </w:r>
      <w:proofErr w:type="spellEnd"/>
      <w:r w:rsidRPr="00C5624F">
        <w:rPr>
          <w:b/>
        </w:rPr>
        <w:t xml:space="preserve"> ULL Consortium meeting, Rotterdam, September 2019</w:t>
      </w:r>
    </w:p>
    <w:p w:rsidR="00D15DB9" w:rsidRPr="00C5624F" w:rsidRDefault="00D15DB9" w:rsidP="00D15DB9">
      <w:pPr>
        <w:rPr>
          <w:b/>
        </w:rPr>
      </w:pPr>
      <w:r w:rsidRPr="00C5624F">
        <w:rPr>
          <w:b/>
        </w:rPr>
        <w:t xml:space="preserve">Date: </w:t>
      </w:r>
      <w:r w:rsidRPr="00C5624F">
        <w:t>Thursday, Sept. 26</w:t>
      </w:r>
      <w:r w:rsidRPr="00C5624F">
        <w:rPr>
          <w:vertAlign w:val="superscript"/>
        </w:rPr>
        <w:t>th</w:t>
      </w:r>
      <w:r w:rsidRPr="00C5624F">
        <w:t xml:space="preserve"> and Friday, Sept. 27</w:t>
      </w:r>
      <w:r w:rsidRPr="00C5624F">
        <w:rPr>
          <w:vertAlign w:val="superscript"/>
        </w:rPr>
        <w:t>th</w:t>
      </w:r>
      <w:r w:rsidRPr="00C5624F">
        <w:t xml:space="preserve"> 2019</w:t>
      </w:r>
      <w:bookmarkStart w:id="0" w:name="_GoBack"/>
      <w:bookmarkEnd w:id="0"/>
    </w:p>
    <w:p w:rsidR="00D15DB9" w:rsidRPr="00C5624F" w:rsidRDefault="00D15DB9" w:rsidP="00D15DB9">
      <w:pPr>
        <w:rPr>
          <w:b/>
        </w:rPr>
      </w:pPr>
      <w:r w:rsidRPr="00C5624F">
        <w:rPr>
          <w:b/>
        </w:rPr>
        <w:t xml:space="preserve">Meeting Locations (please be aware that </w:t>
      </w:r>
      <w:r w:rsidRPr="00C5624F">
        <w:rPr>
          <w:b/>
          <w:i/>
        </w:rPr>
        <w:t>we have two locations now</w:t>
      </w:r>
      <w:r w:rsidRPr="00C5624F">
        <w:rPr>
          <w:b/>
        </w:rPr>
        <w:t>):</w:t>
      </w:r>
    </w:p>
    <w:p w:rsidR="00D15DB9" w:rsidRPr="00C5624F" w:rsidRDefault="00D15DB9" w:rsidP="00D15DB9">
      <w:pPr>
        <w:rPr>
          <w:u w:val="single"/>
        </w:rPr>
      </w:pPr>
      <w:r w:rsidRPr="00C5624F">
        <w:rPr>
          <w:u w:val="single"/>
        </w:rPr>
        <w:t>Thursday, Sept. 26</w:t>
      </w:r>
      <w:r w:rsidRPr="00C5624F">
        <w:rPr>
          <w:u w:val="single"/>
          <w:vertAlign w:val="superscript"/>
        </w:rPr>
        <w:t>th</w:t>
      </w:r>
      <w:r w:rsidRPr="00C5624F">
        <w:rPr>
          <w:u w:val="single"/>
        </w:rPr>
        <w:t>:</w:t>
      </w:r>
    </w:p>
    <w:p w:rsidR="00D15DB9" w:rsidRPr="00C5624F" w:rsidRDefault="00D15DB9" w:rsidP="00D15DB9">
      <w:proofErr w:type="spellStart"/>
      <w:r w:rsidRPr="00C5624F">
        <w:t>BlueCity</w:t>
      </w:r>
      <w:proofErr w:type="spellEnd"/>
      <w:r w:rsidRPr="00C5624F">
        <w:t xml:space="preserve"> Lab </w:t>
      </w:r>
      <w:r w:rsidRPr="00C5624F">
        <w:br/>
      </w:r>
      <w:proofErr w:type="spellStart"/>
      <w:r w:rsidRPr="00C5624F">
        <w:t>Maasboulevard</w:t>
      </w:r>
      <w:proofErr w:type="spellEnd"/>
      <w:r w:rsidRPr="00C5624F">
        <w:t xml:space="preserve"> 100, </w:t>
      </w:r>
      <w:r w:rsidRPr="00C5624F">
        <w:br/>
        <w:t>3063 NS Rotterdam</w:t>
      </w:r>
    </w:p>
    <w:p w:rsidR="00D15DB9" w:rsidRPr="00C5624F" w:rsidRDefault="00D15DB9" w:rsidP="00D15DB9">
      <w:r w:rsidRPr="00C5624F">
        <w:t xml:space="preserve">Route descriptions: </w:t>
      </w:r>
      <w:hyperlink r:id="rId6" w:history="1">
        <w:r w:rsidRPr="00C5624F">
          <w:rPr>
            <w:rStyle w:val="Hyperlink"/>
          </w:rPr>
          <w:t>https://www.bluecity.nl/contact-en-route/</w:t>
        </w:r>
      </w:hyperlink>
      <w:r w:rsidRPr="00C5624F">
        <w:t xml:space="preserve"> </w:t>
      </w:r>
    </w:p>
    <w:p w:rsidR="00D15DB9" w:rsidRPr="00C5624F" w:rsidRDefault="00D15DB9" w:rsidP="00D15DB9">
      <w:pPr>
        <w:rPr>
          <w:u w:val="single"/>
        </w:rPr>
      </w:pPr>
      <w:r w:rsidRPr="00C5624F">
        <w:rPr>
          <w:u w:val="single"/>
        </w:rPr>
        <w:t>Friday, Sept. 27</w:t>
      </w:r>
      <w:r w:rsidRPr="00C5624F">
        <w:rPr>
          <w:u w:val="single"/>
          <w:vertAlign w:val="superscript"/>
        </w:rPr>
        <w:t>th</w:t>
      </w:r>
      <w:r w:rsidRPr="00C5624F">
        <w:rPr>
          <w:u w:val="single"/>
        </w:rPr>
        <w:t>:</w:t>
      </w:r>
    </w:p>
    <w:p w:rsidR="00D15DB9" w:rsidRPr="00C5624F" w:rsidRDefault="00D15DB9" w:rsidP="00D15DB9">
      <w:r w:rsidRPr="00C5624F">
        <w:t>DRIFT, Erasmus University Rotterdam</w:t>
      </w:r>
      <w:r w:rsidRPr="00C5624F">
        <w:br/>
        <w:t xml:space="preserve">Mandeville building – 16th floor </w:t>
      </w:r>
      <w:r w:rsidRPr="00C5624F">
        <w:br/>
      </w:r>
      <w:proofErr w:type="spellStart"/>
      <w:r w:rsidRPr="00C5624F">
        <w:t>Burgemeester</w:t>
      </w:r>
      <w:proofErr w:type="spellEnd"/>
      <w:r w:rsidRPr="00C5624F">
        <w:t xml:space="preserve"> </w:t>
      </w:r>
      <w:proofErr w:type="spellStart"/>
      <w:r w:rsidRPr="00C5624F">
        <w:t>Oudlaan</w:t>
      </w:r>
      <w:proofErr w:type="spellEnd"/>
      <w:r w:rsidRPr="00C5624F">
        <w:t xml:space="preserve"> 50</w:t>
      </w:r>
      <w:r w:rsidRPr="00C5624F">
        <w:br/>
        <w:t>3062 PA Rotterdam</w:t>
      </w:r>
      <w:r w:rsidRPr="00C5624F">
        <w:br/>
      </w:r>
      <w:r w:rsidRPr="00C5624F">
        <w:br/>
        <w:t xml:space="preserve">Route description: </w:t>
      </w:r>
      <w:hyperlink r:id="rId7" w:history="1">
        <w:r w:rsidRPr="00C5624F">
          <w:rPr>
            <w:rStyle w:val="Hyperlink"/>
          </w:rPr>
          <w:t>https://drift.eur.nl/wp-content/uploads/2016/12/route_drift_mandeville3.pdf</w:t>
        </w:r>
      </w:hyperlink>
      <w:r w:rsidRPr="00C5624F">
        <w:t xml:space="preserve"> </w:t>
      </w:r>
    </w:p>
    <w:tbl>
      <w:tblPr>
        <w:tblStyle w:val="TableGrid"/>
        <w:tblW w:w="12900" w:type="dxa"/>
        <w:tblInd w:w="-5" w:type="dxa"/>
        <w:tblLook w:val="04A0" w:firstRow="1" w:lastRow="0" w:firstColumn="1" w:lastColumn="0" w:noHBand="0" w:noVBand="1"/>
      </w:tblPr>
      <w:tblGrid>
        <w:gridCol w:w="1701"/>
        <w:gridCol w:w="11199"/>
      </w:tblGrid>
      <w:tr w:rsidR="00D15DB9" w:rsidRPr="00D15DB9" w:rsidTr="00C5624F">
        <w:trPr>
          <w:trHeight w:val="340"/>
        </w:trPr>
        <w:tc>
          <w:tcPr>
            <w:tcW w:w="12900" w:type="dxa"/>
            <w:gridSpan w:val="2"/>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i/>
              </w:rPr>
            </w:pPr>
            <w:r>
              <w:rPr>
                <w:b/>
                <w:sz w:val="24"/>
              </w:rPr>
              <w:t>Agenda:</w:t>
            </w:r>
            <w:r>
              <w:rPr>
                <w:b/>
              </w:rPr>
              <w:br/>
            </w:r>
            <w:r w:rsidRPr="00D15DB9">
              <w:rPr>
                <w:rFonts w:cstheme="minorHAnsi"/>
                <w:i/>
              </w:rPr>
              <w:t>Wednesday, Sept. 25</w:t>
            </w:r>
            <w:r w:rsidRPr="00D15DB9">
              <w:rPr>
                <w:rFonts w:cstheme="minorHAnsi"/>
                <w:i/>
                <w:vertAlign w:val="superscript"/>
              </w:rPr>
              <w:t>th</w:t>
            </w:r>
            <w:r w:rsidRPr="00D15DB9">
              <w:rPr>
                <w:rFonts w:cstheme="minorHAnsi"/>
                <w:i/>
              </w:rPr>
              <w:t xml:space="preserve"> 2019; Pre meeting activities</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19:00-21:00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lang w:val="nl-NL"/>
              </w:rPr>
            </w:pPr>
            <w:r w:rsidRPr="00D15DB9">
              <w:rPr>
                <w:rFonts w:cstheme="minorHAnsi"/>
                <w:lang w:val="nl-NL"/>
              </w:rPr>
              <w:t xml:space="preserve">Welcoming drinks </w:t>
            </w:r>
          </w:p>
          <w:p w:rsidR="00D15DB9" w:rsidRPr="00D15DB9" w:rsidRDefault="00D15DB9">
            <w:pPr>
              <w:rPr>
                <w:rFonts w:cstheme="minorHAnsi"/>
                <w:lang w:val="nl-NL"/>
              </w:rPr>
            </w:pPr>
            <w:r w:rsidRPr="00D15DB9">
              <w:rPr>
                <w:rFonts w:cstheme="minorHAnsi"/>
                <w:lang w:val="nl-NL"/>
              </w:rPr>
              <w:t xml:space="preserve">(location: </w:t>
            </w:r>
            <w:hyperlink r:id="rId8" w:history="1">
              <w:r w:rsidRPr="00D15DB9">
                <w:rPr>
                  <w:rStyle w:val="Hyperlink"/>
                  <w:rFonts w:cstheme="minorHAnsi"/>
                  <w:lang w:val="nl-NL"/>
                </w:rPr>
                <w:t>Biergarten</w:t>
              </w:r>
            </w:hyperlink>
            <w:r w:rsidRPr="00D15DB9">
              <w:rPr>
                <w:rFonts w:cstheme="minorHAnsi"/>
                <w:lang w:val="nl-NL"/>
              </w:rPr>
              <w:t xml:space="preserve"> Rotterdam,</w:t>
            </w:r>
            <w:r w:rsidR="00C5624F">
              <w:rPr>
                <w:rFonts w:cstheme="minorHAnsi"/>
                <w:lang w:val="nl-NL"/>
              </w:rPr>
              <w:t xml:space="preserve"> </w:t>
            </w:r>
            <w:r w:rsidRPr="00D15DB9">
              <w:rPr>
                <w:rFonts w:cstheme="minorHAnsi"/>
                <w:lang w:val="nl-NL"/>
              </w:rPr>
              <w:t>Schiestraat 18</w:t>
            </w:r>
            <w:r w:rsidR="00C5624F">
              <w:rPr>
                <w:rFonts w:cstheme="minorHAnsi"/>
                <w:lang w:val="nl-NL"/>
              </w:rPr>
              <w:t xml:space="preserve">, </w:t>
            </w:r>
            <w:r w:rsidRPr="00D15DB9">
              <w:rPr>
                <w:rFonts w:cstheme="minorHAnsi"/>
                <w:lang w:val="nl-NL"/>
              </w:rPr>
              <w:t>3013 BR Rotterdam)</w:t>
            </w:r>
          </w:p>
          <w:p w:rsidR="00D15DB9" w:rsidRPr="00D15DB9" w:rsidRDefault="00D15DB9">
            <w:pPr>
              <w:rPr>
                <w:rFonts w:cstheme="minorHAnsi"/>
                <w:lang w:val="nl-NL"/>
              </w:rPr>
            </w:pPr>
          </w:p>
        </w:tc>
      </w:tr>
      <w:tr w:rsidR="00D15DB9" w:rsidRPr="00D15DB9" w:rsidTr="00C5624F">
        <w:trPr>
          <w:trHeight w:val="340"/>
        </w:trPr>
        <w:tc>
          <w:tcPr>
            <w:tcW w:w="12900" w:type="dxa"/>
            <w:gridSpan w:val="2"/>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i/>
                <w:lang w:val="en-US"/>
              </w:rPr>
            </w:pPr>
            <w:r w:rsidRPr="00D15DB9">
              <w:rPr>
                <w:rFonts w:cstheme="minorHAnsi"/>
                <w:i/>
              </w:rPr>
              <w:lastRenderedPageBreak/>
              <w:t>Thursday, Sept. 26</w:t>
            </w:r>
            <w:r w:rsidRPr="00D15DB9">
              <w:rPr>
                <w:rFonts w:cstheme="minorHAnsi"/>
                <w:i/>
                <w:vertAlign w:val="superscript"/>
              </w:rPr>
              <w:t>th</w:t>
            </w:r>
            <w:r w:rsidRPr="00D15DB9">
              <w:rPr>
                <w:rFonts w:cstheme="minorHAnsi"/>
                <w:i/>
              </w:rPr>
              <w:t xml:space="preserve"> 2019; Meeting Day 1 (@ </w:t>
            </w:r>
            <w:proofErr w:type="spellStart"/>
            <w:r w:rsidRPr="00D15DB9">
              <w:rPr>
                <w:rFonts w:cstheme="minorHAnsi"/>
                <w:i/>
              </w:rPr>
              <w:t>BlueCity</w:t>
            </w:r>
            <w:proofErr w:type="spellEnd"/>
            <w:r w:rsidRPr="00D15DB9">
              <w:rPr>
                <w:rFonts w:cstheme="minorHAnsi"/>
                <w:i/>
              </w:rPr>
              <w:t xml:space="preserve"> Lab, see address above)</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08:30 – 09:00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Arrival and welcoming coffee</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09:00 – 10:00</w:t>
            </w:r>
          </w:p>
        </w:tc>
        <w:tc>
          <w:tcPr>
            <w:tcW w:w="11199" w:type="dxa"/>
            <w:tcBorders>
              <w:top w:val="single" w:sz="4" w:space="0" w:color="auto"/>
              <w:left w:val="single" w:sz="4" w:space="0" w:color="auto"/>
              <w:bottom w:val="single" w:sz="4" w:space="0" w:color="auto"/>
              <w:right w:val="single" w:sz="4" w:space="0" w:color="auto"/>
            </w:tcBorders>
            <w:vAlign w:val="center"/>
          </w:tcPr>
          <w:p w:rsidR="00D15DB9" w:rsidRPr="00D15DB9" w:rsidRDefault="00D15DB9">
            <w:pPr>
              <w:rPr>
                <w:rFonts w:cstheme="minorHAnsi"/>
              </w:rPr>
            </w:pPr>
            <w:r w:rsidRPr="00D15DB9">
              <w:rPr>
                <w:rFonts w:cstheme="minorHAnsi"/>
              </w:rPr>
              <w:t>Opening Session:</w:t>
            </w:r>
          </w:p>
          <w:p w:rsidR="00D15DB9" w:rsidRPr="00D15DB9" w:rsidRDefault="00D15DB9" w:rsidP="00D15DB9">
            <w:pPr>
              <w:pStyle w:val="ListParagraph"/>
              <w:numPr>
                <w:ilvl w:val="0"/>
                <w:numId w:val="3"/>
              </w:numPr>
              <w:rPr>
                <w:rFonts w:asciiTheme="minorHAnsi" w:hAnsiTheme="minorHAnsi" w:cstheme="minorHAnsi"/>
                <w:sz w:val="22"/>
                <w:szCs w:val="22"/>
              </w:rPr>
            </w:pPr>
            <w:r w:rsidRPr="00D15DB9">
              <w:rPr>
                <w:rFonts w:asciiTheme="minorHAnsi" w:hAnsiTheme="minorHAnsi" w:cstheme="minorHAnsi"/>
                <w:sz w:val="22"/>
                <w:szCs w:val="22"/>
              </w:rPr>
              <w:t xml:space="preserve">Welcoming words: Sabine </w:t>
            </w:r>
            <w:proofErr w:type="spellStart"/>
            <w:r w:rsidRPr="00D15DB9">
              <w:rPr>
                <w:rFonts w:asciiTheme="minorHAnsi" w:hAnsiTheme="minorHAnsi" w:cstheme="minorHAnsi"/>
                <w:sz w:val="22"/>
                <w:szCs w:val="22"/>
              </w:rPr>
              <w:t>Biesheuvel</w:t>
            </w:r>
            <w:proofErr w:type="spellEnd"/>
            <w:r w:rsidRPr="00D15DB9">
              <w:rPr>
                <w:rFonts w:asciiTheme="minorHAnsi" w:hAnsiTheme="minorHAnsi" w:cstheme="minorHAnsi"/>
                <w:sz w:val="22"/>
                <w:szCs w:val="22"/>
              </w:rPr>
              <w:t xml:space="preserve"> (Managing director </w:t>
            </w:r>
            <w:proofErr w:type="spellStart"/>
            <w:r w:rsidRPr="00D15DB9">
              <w:rPr>
                <w:rFonts w:asciiTheme="minorHAnsi" w:hAnsiTheme="minorHAnsi" w:cstheme="minorHAnsi"/>
                <w:sz w:val="22"/>
                <w:szCs w:val="22"/>
              </w:rPr>
              <w:t>BlueCity</w:t>
            </w:r>
            <w:proofErr w:type="spellEnd"/>
            <w:r w:rsidRPr="00D15DB9">
              <w:rPr>
                <w:rFonts w:asciiTheme="minorHAnsi" w:hAnsiTheme="minorHAnsi" w:cstheme="minorHAnsi"/>
                <w:sz w:val="22"/>
                <w:szCs w:val="22"/>
              </w:rPr>
              <w:t xml:space="preserve"> Lab)</w:t>
            </w:r>
          </w:p>
          <w:p w:rsidR="00D15DB9" w:rsidRPr="00D15DB9" w:rsidRDefault="00D15DB9" w:rsidP="00D15DB9">
            <w:pPr>
              <w:pStyle w:val="ListParagraph"/>
              <w:numPr>
                <w:ilvl w:val="0"/>
                <w:numId w:val="3"/>
              </w:numPr>
              <w:rPr>
                <w:rFonts w:asciiTheme="minorHAnsi" w:hAnsiTheme="minorHAnsi" w:cstheme="minorHAnsi"/>
                <w:sz w:val="22"/>
                <w:szCs w:val="22"/>
              </w:rPr>
            </w:pPr>
            <w:r w:rsidRPr="00D15DB9">
              <w:rPr>
                <w:rFonts w:asciiTheme="minorHAnsi" w:hAnsiTheme="minorHAnsi" w:cstheme="minorHAnsi"/>
                <w:sz w:val="22"/>
                <w:szCs w:val="22"/>
              </w:rPr>
              <w:t xml:space="preserve">Opening Keynote: </w:t>
            </w:r>
            <w:proofErr w:type="spellStart"/>
            <w:r w:rsidRPr="00D15DB9">
              <w:rPr>
                <w:rFonts w:asciiTheme="minorHAnsi" w:hAnsiTheme="minorHAnsi" w:cstheme="minorHAnsi"/>
                <w:sz w:val="22"/>
                <w:szCs w:val="22"/>
              </w:rPr>
              <w:t>Prof.</w:t>
            </w:r>
            <w:proofErr w:type="spellEnd"/>
            <w:r w:rsidRPr="00D15DB9">
              <w:rPr>
                <w:rFonts w:asciiTheme="minorHAnsi" w:hAnsiTheme="minorHAnsi" w:cstheme="minorHAnsi"/>
                <w:sz w:val="22"/>
                <w:szCs w:val="22"/>
              </w:rPr>
              <w:t xml:space="preserve"> </w:t>
            </w:r>
            <w:proofErr w:type="spellStart"/>
            <w:r w:rsidRPr="00D15DB9">
              <w:rPr>
                <w:rFonts w:asciiTheme="minorHAnsi" w:hAnsiTheme="minorHAnsi" w:cstheme="minorHAnsi"/>
                <w:sz w:val="22"/>
                <w:szCs w:val="22"/>
              </w:rPr>
              <w:t>Derk</w:t>
            </w:r>
            <w:proofErr w:type="spellEnd"/>
            <w:r w:rsidRPr="00D15DB9">
              <w:rPr>
                <w:rFonts w:asciiTheme="minorHAnsi" w:hAnsiTheme="minorHAnsi" w:cstheme="minorHAnsi"/>
                <w:sz w:val="22"/>
                <w:szCs w:val="22"/>
              </w:rPr>
              <w:t xml:space="preserve"> </w:t>
            </w:r>
            <w:proofErr w:type="spellStart"/>
            <w:r w:rsidRPr="00D15DB9">
              <w:rPr>
                <w:rFonts w:asciiTheme="minorHAnsi" w:hAnsiTheme="minorHAnsi" w:cstheme="minorHAnsi"/>
                <w:sz w:val="22"/>
                <w:szCs w:val="22"/>
              </w:rPr>
              <w:t>Loorbac</w:t>
            </w:r>
            <w:r w:rsidR="00C5624F">
              <w:rPr>
                <w:rFonts w:asciiTheme="minorHAnsi" w:hAnsiTheme="minorHAnsi" w:cstheme="minorHAnsi"/>
                <w:sz w:val="22"/>
                <w:szCs w:val="22"/>
              </w:rPr>
              <w:t>h</w:t>
            </w:r>
            <w:proofErr w:type="spellEnd"/>
            <w:r w:rsidR="00C5624F">
              <w:rPr>
                <w:rFonts w:asciiTheme="minorHAnsi" w:hAnsiTheme="minorHAnsi" w:cstheme="minorHAnsi"/>
                <w:sz w:val="22"/>
                <w:szCs w:val="22"/>
              </w:rPr>
              <w:t xml:space="preserve"> (DRIFT): Transitioning to</w:t>
            </w:r>
            <w:r w:rsidRPr="00D15DB9">
              <w:rPr>
                <w:rFonts w:asciiTheme="minorHAnsi" w:hAnsiTheme="minorHAnsi" w:cstheme="minorHAnsi"/>
                <w:sz w:val="22"/>
                <w:szCs w:val="22"/>
              </w:rPr>
              <w:t xml:space="preserve"> Circular Economies in the Netherlands and beyond</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10:00 – 10:45</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 xml:space="preserve">Status report: </w:t>
            </w:r>
            <w:proofErr w:type="spellStart"/>
            <w:r w:rsidRPr="00D15DB9">
              <w:rPr>
                <w:rFonts w:cstheme="minorHAnsi"/>
              </w:rPr>
              <w:t>WasteFEW</w:t>
            </w:r>
            <w:proofErr w:type="spellEnd"/>
            <w:r w:rsidRPr="00D15DB9">
              <w:rPr>
                <w:rFonts w:cstheme="minorHAnsi"/>
              </w:rPr>
              <w:t xml:space="preserve"> project (UK lead partners; Sue, Julia)</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10:45 – 11:00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Coffee break</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11:00 – 12:30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WP lead reports / Q&amp;A’s  (approx. 30min each)</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12:30 – 13:45</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 xml:space="preserve">Lunch at </w:t>
            </w:r>
            <w:proofErr w:type="spellStart"/>
            <w:r w:rsidRPr="00D15DB9">
              <w:rPr>
                <w:rFonts w:cstheme="minorHAnsi"/>
              </w:rPr>
              <w:t>BlueCity</w:t>
            </w:r>
            <w:proofErr w:type="spellEnd"/>
            <w:r w:rsidRPr="00D15DB9">
              <w:rPr>
                <w:rFonts w:cstheme="minorHAnsi"/>
              </w:rPr>
              <w:t xml:space="preserve"> Lab</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13:45 – 15:15</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contd. WP lead reports / Q&amp;A’s  (approx. 30min each)</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15:15 – 15:30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Coffee break</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15:30 –  16:30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 xml:space="preserve">contd. WP lead reports / Reflection on ULL development  (approx. 30min each) </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16:30 – 17:30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 xml:space="preserve">Guided Tour through </w:t>
            </w:r>
            <w:proofErr w:type="spellStart"/>
            <w:r w:rsidRPr="00D15DB9">
              <w:rPr>
                <w:rFonts w:cstheme="minorHAnsi"/>
              </w:rPr>
              <w:t>BlueCity</w:t>
            </w:r>
            <w:proofErr w:type="spellEnd"/>
            <w:r w:rsidRPr="00D15DB9">
              <w:rPr>
                <w:rFonts w:cstheme="minorHAnsi"/>
              </w:rPr>
              <w:t xml:space="preserve"> Lab</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 xml:space="preserve">19:30 - </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lang w:val="nl-NL"/>
              </w:rPr>
            </w:pPr>
            <w:r w:rsidRPr="00D15DB9">
              <w:rPr>
                <w:rFonts w:cstheme="minorHAnsi"/>
                <w:lang w:val="nl-NL"/>
              </w:rPr>
              <w:t xml:space="preserve">Group dinner: </w:t>
            </w:r>
          </w:p>
          <w:p w:rsidR="00D15DB9" w:rsidRPr="00D15DB9" w:rsidRDefault="00AB674C">
            <w:pPr>
              <w:rPr>
                <w:rFonts w:cstheme="minorHAnsi"/>
                <w:lang w:val="nl-NL"/>
              </w:rPr>
            </w:pPr>
            <w:hyperlink r:id="rId9" w:history="1">
              <w:r w:rsidR="00D15DB9" w:rsidRPr="00D15DB9">
                <w:rPr>
                  <w:rStyle w:val="Hyperlink"/>
                  <w:rFonts w:cstheme="minorHAnsi"/>
                  <w:lang w:val="nl-NL"/>
                </w:rPr>
                <w:t>91Spices</w:t>
              </w:r>
            </w:hyperlink>
          </w:p>
          <w:p w:rsidR="00D15DB9" w:rsidRPr="00D15DB9" w:rsidRDefault="00D15DB9">
            <w:pPr>
              <w:rPr>
                <w:rFonts w:cstheme="minorHAnsi"/>
                <w:lang w:val="nl-NL"/>
              </w:rPr>
            </w:pPr>
            <w:r w:rsidRPr="00D15DB9">
              <w:rPr>
                <w:rFonts w:cstheme="minorHAnsi"/>
                <w:lang w:val="nl-NL"/>
              </w:rPr>
              <w:t>Gelderseplein 46</w:t>
            </w:r>
          </w:p>
          <w:p w:rsidR="00D15DB9" w:rsidRPr="00D15DB9" w:rsidRDefault="00D15DB9">
            <w:pPr>
              <w:rPr>
                <w:rFonts w:cstheme="minorHAnsi"/>
                <w:lang w:val="nl-NL"/>
              </w:rPr>
            </w:pPr>
            <w:r w:rsidRPr="00D15DB9">
              <w:rPr>
                <w:rFonts w:cstheme="minorHAnsi"/>
                <w:lang w:val="nl-NL"/>
              </w:rPr>
              <w:t>3011WZ, Rotterdam</w:t>
            </w:r>
          </w:p>
        </w:tc>
      </w:tr>
      <w:tr w:rsidR="00D15DB9" w:rsidRPr="00D15DB9" w:rsidTr="00C5624F">
        <w:trPr>
          <w:trHeight w:val="340"/>
        </w:trPr>
        <w:tc>
          <w:tcPr>
            <w:tcW w:w="12900" w:type="dxa"/>
            <w:gridSpan w:val="2"/>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lang w:val="en-US"/>
              </w:rPr>
            </w:pPr>
            <w:r w:rsidRPr="00D15DB9">
              <w:rPr>
                <w:rFonts w:cstheme="minorHAnsi"/>
                <w:i/>
              </w:rPr>
              <w:t>Friday, Sept. 27</w:t>
            </w:r>
            <w:r w:rsidRPr="00D15DB9">
              <w:rPr>
                <w:rFonts w:cstheme="minorHAnsi"/>
                <w:i/>
                <w:vertAlign w:val="superscript"/>
              </w:rPr>
              <w:t>th</w:t>
            </w:r>
            <w:r w:rsidRPr="00D15DB9">
              <w:rPr>
                <w:rFonts w:cstheme="minorHAnsi"/>
                <w:i/>
              </w:rPr>
              <w:t xml:space="preserve"> 2019</w:t>
            </w:r>
            <w:r w:rsidRPr="00D15DB9">
              <w:rPr>
                <w:rFonts w:cstheme="minorHAnsi"/>
              </w:rPr>
              <w:t xml:space="preserve">; </w:t>
            </w:r>
            <w:r w:rsidRPr="00D15DB9">
              <w:rPr>
                <w:rFonts w:cstheme="minorHAnsi"/>
                <w:i/>
              </w:rPr>
              <w:t xml:space="preserve">Meeting Day 2 (@ DRIFT, </w:t>
            </w:r>
            <w:proofErr w:type="spellStart"/>
            <w:r w:rsidRPr="00D15DB9">
              <w:rPr>
                <w:rFonts w:cstheme="minorHAnsi"/>
                <w:i/>
              </w:rPr>
              <w:t>Woudestein</w:t>
            </w:r>
            <w:proofErr w:type="spellEnd"/>
            <w:r w:rsidRPr="00D15DB9">
              <w:rPr>
                <w:rFonts w:cstheme="minorHAnsi"/>
                <w:i/>
              </w:rPr>
              <w:t xml:space="preserve"> Campus, see address above)</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09:30 – 11:00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Economic valuation (Lead: Taoyuan)</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11:00 – 11:15</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Coffee break</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11:15 – 12:45</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Impact planning (Lead: Dan)</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12:45 – 14:15</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Lunch break</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14:15 – 16:30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Publication and Dissemination WP activity (Lead: Adina)</w:t>
            </w:r>
          </w:p>
        </w:tc>
      </w:tr>
      <w:tr w:rsidR="00D15DB9" w:rsidRPr="00D15DB9" w:rsidTr="00C5624F">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16:30 – 17:00</w:t>
            </w:r>
          </w:p>
        </w:tc>
        <w:tc>
          <w:tcPr>
            <w:tcW w:w="11199" w:type="dxa"/>
            <w:tcBorders>
              <w:top w:val="single" w:sz="4" w:space="0" w:color="auto"/>
              <w:left w:val="single" w:sz="4" w:space="0" w:color="auto"/>
              <w:bottom w:val="single" w:sz="4" w:space="0" w:color="auto"/>
              <w:right w:val="single" w:sz="4" w:space="0" w:color="auto"/>
            </w:tcBorders>
            <w:vAlign w:val="center"/>
            <w:hideMark/>
          </w:tcPr>
          <w:p w:rsidR="00D15DB9" w:rsidRPr="00D15DB9" w:rsidRDefault="00D15DB9">
            <w:pPr>
              <w:rPr>
                <w:rFonts w:cstheme="minorHAnsi"/>
              </w:rPr>
            </w:pPr>
            <w:r w:rsidRPr="00D15DB9">
              <w:rPr>
                <w:rFonts w:cstheme="minorHAnsi"/>
              </w:rPr>
              <w:t>Summary of meeting outcomes, Action items, Outlook</w:t>
            </w:r>
          </w:p>
        </w:tc>
      </w:tr>
    </w:tbl>
    <w:p w:rsidR="00D15DB9" w:rsidRDefault="00D15DB9" w:rsidP="00D15DB9"/>
    <w:sectPr w:rsidR="00D15DB9" w:rsidSect="004D60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66D"/>
    <w:multiLevelType w:val="hybridMultilevel"/>
    <w:tmpl w:val="E60625C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A34699D"/>
    <w:multiLevelType w:val="hybridMultilevel"/>
    <w:tmpl w:val="E15C100A"/>
    <w:lvl w:ilvl="0" w:tplc="BC464BF6">
      <w:start w:val="1"/>
      <w:numFmt w:val="decimal"/>
      <w:lvlText w:val="%1."/>
      <w:lvlJc w:val="left"/>
      <w:pPr>
        <w:tabs>
          <w:tab w:val="num" w:pos="720"/>
        </w:tabs>
        <w:ind w:left="720" w:hanging="360"/>
      </w:pPr>
    </w:lvl>
    <w:lvl w:ilvl="1" w:tplc="89B8BAA6" w:tentative="1">
      <w:start w:val="1"/>
      <w:numFmt w:val="decimal"/>
      <w:lvlText w:val="%2."/>
      <w:lvlJc w:val="left"/>
      <w:pPr>
        <w:tabs>
          <w:tab w:val="num" w:pos="1440"/>
        </w:tabs>
        <w:ind w:left="1440" w:hanging="360"/>
      </w:pPr>
    </w:lvl>
    <w:lvl w:ilvl="2" w:tplc="FE30404A" w:tentative="1">
      <w:start w:val="1"/>
      <w:numFmt w:val="decimal"/>
      <w:lvlText w:val="%3."/>
      <w:lvlJc w:val="left"/>
      <w:pPr>
        <w:tabs>
          <w:tab w:val="num" w:pos="2160"/>
        </w:tabs>
        <w:ind w:left="2160" w:hanging="360"/>
      </w:pPr>
    </w:lvl>
    <w:lvl w:ilvl="3" w:tplc="AA5E598A" w:tentative="1">
      <w:start w:val="1"/>
      <w:numFmt w:val="decimal"/>
      <w:lvlText w:val="%4."/>
      <w:lvlJc w:val="left"/>
      <w:pPr>
        <w:tabs>
          <w:tab w:val="num" w:pos="2880"/>
        </w:tabs>
        <w:ind w:left="2880" w:hanging="360"/>
      </w:pPr>
    </w:lvl>
    <w:lvl w:ilvl="4" w:tplc="5BD0C0AE" w:tentative="1">
      <w:start w:val="1"/>
      <w:numFmt w:val="decimal"/>
      <w:lvlText w:val="%5."/>
      <w:lvlJc w:val="left"/>
      <w:pPr>
        <w:tabs>
          <w:tab w:val="num" w:pos="3600"/>
        </w:tabs>
        <w:ind w:left="3600" w:hanging="360"/>
      </w:pPr>
    </w:lvl>
    <w:lvl w:ilvl="5" w:tplc="6D9ECFEA" w:tentative="1">
      <w:start w:val="1"/>
      <w:numFmt w:val="decimal"/>
      <w:lvlText w:val="%6."/>
      <w:lvlJc w:val="left"/>
      <w:pPr>
        <w:tabs>
          <w:tab w:val="num" w:pos="4320"/>
        </w:tabs>
        <w:ind w:left="4320" w:hanging="360"/>
      </w:pPr>
    </w:lvl>
    <w:lvl w:ilvl="6" w:tplc="D4D211EC" w:tentative="1">
      <w:start w:val="1"/>
      <w:numFmt w:val="decimal"/>
      <w:lvlText w:val="%7."/>
      <w:lvlJc w:val="left"/>
      <w:pPr>
        <w:tabs>
          <w:tab w:val="num" w:pos="5040"/>
        </w:tabs>
        <w:ind w:left="5040" w:hanging="360"/>
      </w:pPr>
    </w:lvl>
    <w:lvl w:ilvl="7" w:tplc="CECE6D92" w:tentative="1">
      <w:start w:val="1"/>
      <w:numFmt w:val="decimal"/>
      <w:lvlText w:val="%8."/>
      <w:lvlJc w:val="left"/>
      <w:pPr>
        <w:tabs>
          <w:tab w:val="num" w:pos="5760"/>
        </w:tabs>
        <w:ind w:left="5760" w:hanging="360"/>
      </w:pPr>
    </w:lvl>
    <w:lvl w:ilvl="8" w:tplc="DDBE859C" w:tentative="1">
      <w:start w:val="1"/>
      <w:numFmt w:val="decimal"/>
      <w:lvlText w:val="%9."/>
      <w:lvlJc w:val="left"/>
      <w:pPr>
        <w:tabs>
          <w:tab w:val="num" w:pos="6480"/>
        </w:tabs>
        <w:ind w:left="6480" w:hanging="360"/>
      </w:pPr>
    </w:lvl>
  </w:abstractNum>
  <w:abstractNum w:abstractNumId="2" w15:restartNumberingAfterBreak="0">
    <w:nsid w:val="69390F02"/>
    <w:multiLevelType w:val="hybridMultilevel"/>
    <w:tmpl w:val="E9AC2F86"/>
    <w:lvl w:ilvl="0" w:tplc="A5228296">
      <w:start w:val="1"/>
      <w:numFmt w:val="decimal"/>
      <w:lvlText w:val="%1."/>
      <w:lvlJc w:val="left"/>
      <w:pPr>
        <w:tabs>
          <w:tab w:val="num" w:pos="720"/>
        </w:tabs>
        <w:ind w:left="720" w:hanging="360"/>
      </w:pPr>
    </w:lvl>
    <w:lvl w:ilvl="1" w:tplc="2AD6B52E" w:tentative="1">
      <w:start w:val="1"/>
      <w:numFmt w:val="decimal"/>
      <w:lvlText w:val="%2."/>
      <w:lvlJc w:val="left"/>
      <w:pPr>
        <w:tabs>
          <w:tab w:val="num" w:pos="1440"/>
        </w:tabs>
        <w:ind w:left="1440" w:hanging="360"/>
      </w:pPr>
    </w:lvl>
    <w:lvl w:ilvl="2" w:tplc="17882FC2" w:tentative="1">
      <w:start w:val="1"/>
      <w:numFmt w:val="decimal"/>
      <w:lvlText w:val="%3."/>
      <w:lvlJc w:val="left"/>
      <w:pPr>
        <w:tabs>
          <w:tab w:val="num" w:pos="2160"/>
        </w:tabs>
        <w:ind w:left="2160" w:hanging="360"/>
      </w:pPr>
    </w:lvl>
    <w:lvl w:ilvl="3" w:tplc="8026D060" w:tentative="1">
      <w:start w:val="1"/>
      <w:numFmt w:val="decimal"/>
      <w:lvlText w:val="%4."/>
      <w:lvlJc w:val="left"/>
      <w:pPr>
        <w:tabs>
          <w:tab w:val="num" w:pos="2880"/>
        </w:tabs>
        <w:ind w:left="2880" w:hanging="360"/>
      </w:pPr>
    </w:lvl>
    <w:lvl w:ilvl="4" w:tplc="92BCD3E8" w:tentative="1">
      <w:start w:val="1"/>
      <w:numFmt w:val="decimal"/>
      <w:lvlText w:val="%5."/>
      <w:lvlJc w:val="left"/>
      <w:pPr>
        <w:tabs>
          <w:tab w:val="num" w:pos="3600"/>
        </w:tabs>
        <w:ind w:left="3600" w:hanging="360"/>
      </w:pPr>
    </w:lvl>
    <w:lvl w:ilvl="5" w:tplc="268AEE1A" w:tentative="1">
      <w:start w:val="1"/>
      <w:numFmt w:val="decimal"/>
      <w:lvlText w:val="%6."/>
      <w:lvlJc w:val="left"/>
      <w:pPr>
        <w:tabs>
          <w:tab w:val="num" w:pos="4320"/>
        </w:tabs>
        <w:ind w:left="4320" w:hanging="360"/>
      </w:pPr>
    </w:lvl>
    <w:lvl w:ilvl="6" w:tplc="FD16DF6E" w:tentative="1">
      <w:start w:val="1"/>
      <w:numFmt w:val="decimal"/>
      <w:lvlText w:val="%7."/>
      <w:lvlJc w:val="left"/>
      <w:pPr>
        <w:tabs>
          <w:tab w:val="num" w:pos="5040"/>
        </w:tabs>
        <w:ind w:left="5040" w:hanging="360"/>
      </w:pPr>
    </w:lvl>
    <w:lvl w:ilvl="7" w:tplc="220A3EF2" w:tentative="1">
      <w:start w:val="1"/>
      <w:numFmt w:val="decimal"/>
      <w:lvlText w:val="%8."/>
      <w:lvlJc w:val="left"/>
      <w:pPr>
        <w:tabs>
          <w:tab w:val="num" w:pos="5760"/>
        </w:tabs>
        <w:ind w:left="5760" w:hanging="360"/>
      </w:pPr>
    </w:lvl>
    <w:lvl w:ilvl="8" w:tplc="1E1EE76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1"/>
    <w:rsid w:val="00235B8B"/>
    <w:rsid w:val="00243BCC"/>
    <w:rsid w:val="002E4F95"/>
    <w:rsid w:val="00336DF6"/>
    <w:rsid w:val="003679E0"/>
    <w:rsid w:val="00385AD5"/>
    <w:rsid w:val="004D60A1"/>
    <w:rsid w:val="005750DC"/>
    <w:rsid w:val="00667BD7"/>
    <w:rsid w:val="0097472D"/>
    <w:rsid w:val="00A22944"/>
    <w:rsid w:val="00AB674C"/>
    <w:rsid w:val="00AC3A49"/>
    <w:rsid w:val="00BC2F18"/>
    <w:rsid w:val="00BF519F"/>
    <w:rsid w:val="00C5624F"/>
    <w:rsid w:val="00C626FB"/>
    <w:rsid w:val="00D15DB9"/>
    <w:rsid w:val="00F6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0748"/>
  <w15:chartTrackingRefBased/>
  <w15:docId w15:val="{96EEFF8C-6B70-4381-A388-88BC1022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0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60A1"/>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6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5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280">
      <w:bodyDiv w:val="1"/>
      <w:marLeft w:val="0"/>
      <w:marRight w:val="0"/>
      <w:marTop w:val="0"/>
      <w:marBottom w:val="0"/>
      <w:divBdr>
        <w:top w:val="none" w:sz="0" w:space="0" w:color="auto"/>
        <w:left w:val="none" w:sz="0" w:space="0" w:color="auto"/>
        <w:bottom w:val="none" w:sz="0" w:space="0" w:color="auto"/>
        <w:right w:val="none" w:sz="0" w:space="0" w:color="auto"/>
      </w:divBdr>
    </w:div>
    <w:div w:id="228852745">
      <w:bodyDiv w:val="1"/>
      <w:marLeft w:val="0"/>
      <w:marRight w:val="0"/>
      <w:marTop w:val="0"/>
      <w:marBottom w:val="0"/>
      <w:divBdr>
        <w:top w:val="none" w:sz="0" w:space="0" w:color="auto"/>
        <w:left w:val="none" w:sz="0" w:space="0" w:color="auto"/>
        <w:bottom w:val="none" w:sz="0" w:space="0" w:color="auto"/>
        <w:right w:val="none" w:sz="0" w:space="0" w:color="auto"/>
      </w:divBdr>
      <w:divsChild>
        <w:div w:id="44764395">
          <w:marLeft w:val="547"/>
          <w:marRight w:val="0"/>
          <w:marTop w:val="0"/>
          <w:marBottom w:val="120"/>
          <w:divBdr>
            <w:top w:val="none" w:sz="0" w:space="0" w:color="auto"/>
            <w:left w:val="none" w:sz="0" w:space="0" w:color="auto"/>
            <w:bottom w:val="none" w:sz="0" w:space="0" w:color="auto"/>
            <w:right w:val="none" w:sz="0" w:space="0" w:color="auto"/>
          </w:divBdr>
        </w:div>
        <w:div w:id="1411657326">
          <w:marLeft w:val="547"/>
          <w:marRight w:val="0"/>
          <w:marTop w:val="0"/>
          <w:marBottom w:val="120"/>
          <w:divBdr>
            <w:top w:val="none" w:sz="0" w:space="0" w:color="auto"/>
            <w:left w:val="none" w:sz="0" w:space="0" w:color="auto"/>
            <w:bottom w:val="none" w:sz="0" w:space="0" w:color="auto"/>
            <w:right w:val="none" w:sz="0" w:space="0" w:color="auto"/>
          </w:divBdr>
        </w:div>
        <w:div w:id="1100832053">
          <w:marLeft w:val="547"/>
          <w:marRight w:val="0"/>
          <w:marTop w:val="0"/>
          <w:marBottom w:val="120"/>
          <w:divBdr>
            <w:top w:val="none" w:sz="0" w:space="0" w:color="auto"/>
            <w:left w:val="none" w:sz="0" w:space="0" w:color="auto"/>
            <w:bottom w:val="none" w:sz="0" w:space="0" w:color="auto"/>
            <w:right w:val="none" w:sz="0" w:space="0" w:color="auto"/>
          </w:divBdr>
        </w:div>
        <w:div w:id="137114476">
          <w:marLeft w:val="547"/>
          <w:marRight w:val="0"/>
          <w:marTop w:val="0"/>
          <w:marBottom w:val="120"/>
          <w:divBdr>
            <w:top w:val="none" w:sz="0" w:space="0" w:color="auto"/>
            <w:left w:val="none" w:sz="0" w:space="0" w:color="auto"/>
            <w:bottom w:val="none" w:sz="0" w:space="0" w:color="auto"/>
            <w:right w:val="none" w:sz="0" w:space="0" w:color="auto"/>
          </w:divBdr>
        </w:div>
        <w:div w:id="1974286129">
          <w:marLeft w:val="547"/>
          <w:marRight w:val="0"/>
          <w:marTop w:val="0"/>
          <w:marBottom w:val="120"/>
          <w:divBdr>
            <w:top w:val="none" w:sz="0" w:space="0" w:color="auto"/>
            <w:left w:val="none" w:sz="0" w:space="0" w:color="auto"/>
            <w:bottom w:val="none" w:sz="0" w:space="0" w:color="auto"/>
            <w:right w:val="none" w:sz="0" w:space="0" w:color="auto"/>
          </w:divBdr>
        </w:div>
        <w:div w:id="1981376109">
          <w:marLeft w:val="547"/>
          <w:marRight w:val="0"/>
          <w:marTop w:val="0"/>
          <w:marBottom w:val="120"/>
          <w:divBdr>
            <w:top w:val="none" w:sz="0" w:space="0" w:color="auto"/>
            <w:left w:val="none" w:sz="0" w:space="0" w:color="auto"/>
            <w:bottom w:val="none" w:sz="0" w:space="0" w:color="auto"/>
            <w:right w:val="none" w:sz="0" w:space="0" w:color="auto"/>
          </w:divBdr>
        </w:div>
        <w:div w:id="637952740">
          <w:marLeft w:val="547"/>
          <w:marRight w:val="0"/>
          <w:marTop w:val="0"/>
          <w:marBottom w:val="120"/>
          <w:divBdr>
            <w:top w:val="none" w:sz="0" w:space="0" w:color="auto"/>
            <w:left w:val="none" w:sz="0" w:space="0" w:color="auto"/>
            <w:bottom w:val="none" w:sz="0" w:space="0" w:color="auto"/>
            <w:right w:val="none" w:sz="0" w:space="0" w:color="auto"/>
          </w:divBdr>
        </w:div>
        <w:div w:id="1072853709">
          <w:marLeft w:val="547"/>
          <w:marRight w:val="0"/>
          <w:marTop w:val="0"/>
          <w:marBottom w:val="120"/>
          <w:divBdr>
            <w:top w:val="none" w:sz="0" w:space="0" w:color="auto"/>
            <w:left w:val="none" w:sz="0" w:space="0" w:color="auto"/>
            <w:bottom w:val="none" w:sz="0" w:space="0" w:color="auto"/>
            <w:right w:val="none" w:sz="0" w:space="0" w:color="auto"/>
          </w:divBdr>
        </w:div>
        <w:div w:id="1235822613">
          <w:marLeft w:val="547"/>
          <w:marRight w:val="0"/>
          <w:marTop w:val="0"/>
          <w:marBottom w:val="120"/>
          <w:divBdr>
            <w:top w:val="none" w:sz="0" w:space="0" w:color="auto"/>
            <w:left w:val="none" w:sz="0" w:space="0" w:color="auto"/>
            <w:bottom w:val="none" w:sz="0" w:space="0" w:color="auto"/>
            <w:right w:val="none" w:sz="0" w:space="0" w:color="auto"/>
          </w:divBdr>
        </w:div>
        <w:div w:id="1703359752">
          <w:marLeft w:val="547"/>
          <w:marRight w:val="0"/>
          <w:marTop w:val="0"/>
          <w:marBottom w:val="120"/>
          <w:divBdr>
            <w:top w:val="none" w:sz="0" w:space="0" w:color="auto"/>
            <w:left w:val="none" w:sz="0" w:space="0" w:color="auto"/>
            <w:bottom w:val="none" w:sz="0" w:space="0" w:color="auto"/>
            <w:right w:val="none" w:sz="0" w:space="0" w:color="auto"/>
          </w:divBdr>
        </w:div>
        <w:div w:id="1346397577">
          <w:marLeft w:val="547"/>
          <w:marRight w:val="0"/>
          <w:marTop w:val="0"/>
          <w:marBottom w:val="120"/>
          <w:divBdr>
            <w:top w:val="none" w:sz="0" w:space="0" w:color="auto"/>
            <w:left w:val="none" w:sz="0" w:space="0" w:color="auto"/>
            <w:bottom w:val="none" w:sz="0" w:space="0" w:color="auto"/>
            <w:right w:val="none" w:sz="0" w:space="0" w:color="auto"/>
          </w:divBdr>
        </w:div>
        <w:div w:id="183634757">
          <w:marLeft w:val="547"/>
          <w:marRight w:val="0"/>
          <w:marTop w:val="0"/>
          <w:marBottom w:val="120"/>
          <w:divBdr>
            <w:top w:val="none" w:sz="0" w:space="0" w:color="auto"/>
            <w:left w:val="none" w:sz="0" w:space="0" w:color="auto"/>
            <w:bottom w:val="none" w:sz="0" w:space="0" w:color="auto"/>
            <w:right w:val="none" w:sz="0" w:space="0" w:color="auto"/>
          </w:divBdr>
        </w:div>
        <w:div w:id="1327512231">
          <w:marLeft w:val="547"/>
          <w:marRight w:val="0"/>
          <w:marTop w:val="0"/>
          <w:marBottom w:val="120"/>
          <w:divBdr>
            <w:top w:val="none" w:sz="0" w:space="0" w:color="auto"/>
            <w:left w:val="none" w:sz="0" w:space="0" w:color="auto"/>
            <w:bottom w:val="none" w:sz="0" w:space="0" w:color="auto"/>
            <w:right w:val="none" w:sz="0" w:space="0" w:color="auto"/>
          </w:divBdr>
        </w:div>
      </w:divsChild>
    </w:div>
    <w:div w:id="545332563">
      <w:bodyDiv w:val="1"/>
      <w:marLeft w:val="0"/>
      <w:marRight w:val="0"/>
      <w:marTop w:val="0"/>
      <w:marBottom w:val="0"/>
      <w:divBdr>
        <w:top w:val="none" w:sz="0" w:space="0" w:color="auto"/>
        <w:left w:val="none" w:sz="0" w:space="0" w:color="auto"/>
        <w:bottom w:val="none" w:sz="0" w:space="0" w:color="auto"/>
        <w:right w:val="none" w:sz="0" w:space="0" w:color="auto"/>
      </w:divBdr>
    </w:div>
    <w:div w:id="769665347">
      <w:bodyDiv w:val="1"/>
      <w:marLeft w:val="0"/>
      <w:marRight w:val="0"/>
      <w:marTop w:val="0"/>
      <w:marBottom w:val="0"/>
      <w:divBdr>
        <w:top w:val="none" w:sz="0" w:space="0" w:color="auto"/>
        <w:left w:val="none" w:sz="0" w:space="0" w:color="auto"/>
        <w:bottom w:val="none" w:sz="0" w:space="0" w:color="auto"/>
        <w:right w:val="none" w:sz="0" w:space="0" w:color="auto"/>
      </w:divBdr>
    </w:div>
    <w:div w:id="1388337016">
      <w:bodyDiv w:val="1"/>
      <w:marLeft w:val="0"/>
      <w:marRight w:val="0"/>
      <w:marTop w:val="0"/>
      <w:marBottom w:val="0"/>
      <w:divBdr>
        <w:top w:val="none" w:sz="0" w:space="0" w:color="auto"/>
        <w:left w:val="none" w:sz="0" w:space="0" w:color="auto"/>
        <w:bottom w:val="none" w:sz="0" w:space="0" w:color="auto"/>
        <w:right w:val="none" w:sz="0" w:space="0" w:color="auto"/>
      </w:divBdr>
      <w:divsChild>
        <w:div w:id="519509313">
          <w:marLeft w:val="547"/>
          <w:marRight w:val="0"/>
          <w:marTop w:val="0"/>
          <w:marBottom w:val="120"/>
          <w:divBdr>
            <w:top w:val="none" w:sz="0" w:space="0" w:color="auto"/>
            <w:left w:val="none" w:sz="0" w:space="0" w:color="auto"/>
            <w:bottom w:val="none" w:sz="0" w:space="0" w:color="auto"/>
            <w:right w:val="none" w:sz="0" w:space="0" w:color="auto"/>
          </w:divBdr>
        </w:div>
        <w:div w:id="1078019528">
          <w:marLeft w:val="547"/>
          <w:marRight w:val="0"/>
          <w:marTop w:val="0"/>
          <w:marBottom w:val="120"/>
          <w:divBdr>
            <w:top w:val="none" w:sz="0" w:space="0" w:color="auto"/>
            <w:left w:val="none" w:sz="0" w:space="0" w:color="auto"/>
            <w:bottom w:val="none" w:sz="0" w:space="0" w:color="auto"/>
            <w:right w:val="none" w:sz="0" w:space="0" w:color="auto"/>
          </w:divBdr>
        </w:div>
        <w:div w:id="2013802217">
          <w:marLeft w:val="547"/>
          <w:marRight w:val="0"/>
          <w:marTop w:val="0"/>
          <w:marBottom w:val="120"/>
          <w:divBdr>
            <w:top w:val="none" w:sz="0" w:space="0" w:color="auto"/>
            <w:left w:val="none" w:sz="0" w:space="0" w:color="auto"/>
            <w:bottom w:val="none" w:sz="0" w:space="0" w:color="auto"/>
            <w:right w:val="none" w:sz="0" w:space="0" w:color="auto"/>
          </w:divBdr>
        </w:div>
        <w:div w:id="947473143">
          <w:marLeft w:val="547"/>
          <w:marRight w:val="0"/>
          <w:marTop w:val="0"/>
          <w:marBottom w:val="120"/>
          <w:divBdr>
            <w:top w:val="none" w:sz="0" w:space="0" w:color="auto"/>
            <w:left w:val="none" w:sz="0" w:space="0" w:color="auto"/>
            <w:bottom w:val="none" w:sz="0" w:space="0" w:color="auto"/>
            <w:right w:val="none" w:sz="0" w:space="0" w:color="auto"/>
          </w:divBdr>
        </w:div>
        <w:div w:id="414085871">
          <w:marLeft w:val="547"/>
          <w:marRight w:val="0"/>
          <w:marTop w:val="0"/>
          <w:marBottom w:val="120"/>
          <w:divBdr>
            <w:top w:val="none" w:sz="0" w:space="0" w:color="auto"/>
            <w:left w:val="none" w:sz="0" w:space="0" w:color="auto"/>
            <w:bottom w:val="none" w:sz="0" w:space="0" w:color="auto"/>
            <w:right w:val="none" w:sz="0" w:space="0" w:color="auto"/>
          </w:divBdr>
        </w:div>
        <w:div w:id="518279617">
          <w:marLeft w:val="547"/>
          <w:marRight w:val="0"/>
          <w:marTop w:val="0"/>
          <w:marBottom w:val="120"/>
          <w:divBdr>
            <w:top w:val="none" w:sz="0" w:space="0" w:color="auto"/>
            <w:left w:val="none" w:sz="0" w:space="0" w:color="auto"/>
            <w:bottom w:val="none" w:sz="0" w:space="0" w:color="auto"/>
            <w:right w:val="none" w:sz="0" w:space="0" w:color="auto"/>
          </w:divBdr>
        </w:div>
        <w:div w:id="360977328">
          <w:marLeft w:val="547"/>
          <w:marRight w:val="0"/>
          <w:marTop w:val="0"/>
          <w:marBottom w:val="120"/>
          <w:divBdr>
            <w:top w:val="none" w:sz="0" w:space="0" w:color="auto"/>
            <w:left w:val="none" w:sz="0" w:space="0" w:color="auto"/>
            <w:bottom w:val="none" w:sz="0" w:space="0" w:color="auto"/>
            <w:right w:val="none" w:sz="0" w:space="0" w:color="auto"/>
          </w:divBdr>
        </w:div>
        <w:div w:id="1949652543">
          <w:marLeft w:val="547"/>
          <w:marRight w:val="0"/>
          <w:marTop w:val="0"/>
          <w:marBottom w:val="120"/>
          <w:divBdr>
            <w:top w:val="none" w:sz="0" w:space="0" w:color="auto"/>
            <w:left w:val="none" w:sz="0" w:space="0" w:color="auto"/>
            <w:bottom w:val="none" w:sz="0" w:space="0" w:color="auto"/>
            <w:right w:val="none" w:sz="0" w:space="0" w:color="auto"/>
          </w:divBdr>
        </w:div>
        <w:div w:id="920067103">
          <w:marLeft w:val="547"/>
          <w:marRight w:val="0"/>
          <w:marTop w:val="0"/>
          <w:marBottom w:val="120"/>
          <w:divBdr>
            <w:top w:val="none" w:sz="0" w:space="0" w:color="auto"/>
            <w:left w:val="none" w:sz="0" w:space="0" w:color="auto"/>
            <w:bottom w:val="none" w:sz="0" w:space="0" w:color="auto"/>
            <w:right w:val="none" w:sz="0" w:space="0" w:color="auto"/>
          </w:divBdr>
        </w:div>
        <w:div w:id="138615462">
          <w:marLeft w:val="547"/>
          <w:marRight w:val="0"/>
          <w:marTop w:val="0"/>
          <w:marBottom w:val="120"/>
          <w:divBdr>
            <w:top w:val="none" w:sz="0" w:space="0" w:color="auto"/>
            <w:left w:val="none" w:sz="0" w:space="0" w:color="auto"/>
            <w:bottom w:val="none" w:sz="0" w:space="0" w:color="auto"/>
            <w:right w:val="none" w:sz="0" w:space="0" w:color="auto"/>
          </w:divBdr>
        </w:div>
        <w:div w:id="318387080">
          <w:marLeft w:val="547"/>
          <w:marRight w:val="0"/>
          <w:marTop w:val="0"/>
          <w:marBottom w:val="120"/>
          <w:divBdr>
            <w:top w:val="none" w:sz="0" w:space="0" w:color="auto"/>
            <w:left w:val="none" w:sz="0" w:space="0" w:color="auto"/>
            <w:bottom w:val="none" w:sz="0" w:space="0" w:color="auto"/>
            <w:right w:val="none" w:sz="0" w:space="0" w:color="auto"/>
          </w:divBdr>
        </w:div>
        <w:div w:id="1942756743">
          <w:marLeft w:val="547"/>
          <w:marRight w:val="0"/>
          <w:marTop w:val="0"/>
          <w:marBottom w:val="120"/>
          <w:divBdr>
            <w:top w:val="none" w:sz="0" w:space="0" w:color="auto"/>
            <w:left w:val="none" w:sz="0" w:space="0" w:color="auto"/>
            <w:bottom w:val="none" w:sz="0" w:space="0" w:color="auto"/>
            <w:right w:val="none" w:sz="0" w:space="0" w:color="auto"/>
          </w:divBdr>
        </w:div>
        <w:div w:id="45299065">
          <w:marLeft w:val="547"/>
          <w:marRight w:val="0"/>
          <w:marTop w:val="0"/>
          <w:marBottom w:val="120"/>
          <w:divBdr>
            <w:top w:val="none" w:sz="0" w:space="0" w:color="auto"/>
            <w:left w:val="none" w:sz="0" w:space="0" w:color="auto"/>
            <w:bottom w:val="none" w:sz="0" w:space="0" w:color="auto"/>
            <w:right w:val="none" w:sz="0" w:space="0" w:color="auto"/>
          </w:divBdr>
        </w:div>
      </w:divsChild>
    </w:div>
    <w:div w:id="1573811069">
      <w:bodyDiv w:val="1"/>
      <w:marLeft w:val="0"/>
      <w:marRight w:val="0"/>
      <w:marTop w:val="0"/>
      <w:marBottom w:val="0"/>
      <w:divBdr>
        <w:top w:val="none" w:sz="0" w:space="0" w:color="auto"/>
        <w:left w:val="none" w:sz="0" w:space="0" w:color="auto"/>
        <w:bottom w:val="none" w:sz="0" w:space="0" w:color="auto"/>
        <w:right w:val="none" w:sz="0" w:space="0" w:color="auto"/>
      </w:divBdr>
    </w:div>
    <w:div w:id="17891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ergartenrotterdam.nl/location/" TargetMode="External"/><Relationship Id="rId3" Type="http://schemas.openxmlformats.org/officeDocument/2006/relationships/settings" Target="settings.xml"/><Relationship Id="rId7" Type="http://schemas.openxmlformats.org/officeDocument/2006/relationships/hyperlink" Target="https://drift.eur.nl/wp-content/uploads/2016/12/route_drift_mandeville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city.nl/contact-en-rout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91spices.nl/menukaart/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Charlesworth</dc:creator>
  <cp:keywords/>
  <dc:description/>
  <cp:lastModifiedBy>Sue Charlesworth</cp:lastModifiedBy>
  <cp:revision>11</cp:revision>
  <dcterms:created xsi:type="dcterms:W3CDTF">2019-09-30T11:15:00Z</dcterms:created>
  <dcterms:modified xsi:type="dcterms:W3CDTF">2019-10-03T16:01:00Z</dcterms:modified>
</cp:coreProperties>
</file>